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hint="eastAsia" w:ascii="宋体" w:hAnsi="宋体" w:eastAsia="宋体"/>
          <w:b/>
          <w:color w:val="auto"/>
          <w:sz w:val="72"/>
          <w:szCs w:val="72"/>
          <w:highlight w:val="none"/>
          <w:lang w:eastAsia="zh-CN"/>
        </w:rPr>
      </w:pPr>
      <w:r>
        <w:rPr>
          <w:rFonts w:hint="eastAsia" w:ascii="宋体" w:hAnsi="宋体"/>
          <w:b/>
          <w:color w:val="auto"/>
          <w:sz w:val="72"/>
          <w:szCs w:val="72"/>
          <w:highlight w:val="none"/>
          <w:lang w:eastAsia="zh-CN"/>
        </w:rPr>
        <w:t>福建省莆田荔兴轻工实业有限责任公司</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FJKZB-657042024-1</w:t>
      </w:r>
    </w:p>
    <w:p>
      <w:pPr>
        <w:pStyle w:val="11"/>
        <w:spacing w:line="640" w:lineRule="exact"/>
        <w:ind w:firstLine="1285" w:firstLineChars="4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饮用水采购项目</w:t>
      </w:r>
    </w:p>
    <w:p>
      <w:pPr>
        <w:pStyle w:val="11"/>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福建省莆田荔兴轻工实业有限责任公司</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7"/>
        <w:rPr>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月</w:t>
      </w:r>
    </w:p>
    <w:p>
      <w:pPr>
        <w:pStyle w:val="3"/>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福建省莆田荔兴轻工实业有限责任公司</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饮用水采购项目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FJKZB-657042024-1</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饮用水采购项目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spacing w:line="360" w:lineRule="auto"/>
        <w:ind w:firstLine="480" w:firstLineChars="200"/>
        <w:rPr>
          <w:rFonts w:ascii="宋体" w:hAnsi="宋体" w:cs="宋体"/>
          <w:color w:val="auto"/>
          <w:kern w:val="0"/>
          <w:sz w:val="24"/>
          <w:highlight w:val="none"/>
        </w:rPr>
      </w:pPr>
      <w:bookmarkStart w:id="0" w:name="_Toc21403"/>
      <w:r>
        <w:rPr>
          <w:rFonts w:hint="eastAsia" w:ascii="宋体" w:hAnsi="宋体" w:cs="宋体"/>
          <w:color w:val="auto"/>
          <w:kern w:val="0"/>
          <w:sz w:val="24"/>
          <w:highlight w:val="none"/>
        </w:rPr>
        <w:t>报名开始时间：2024年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报名截止时间：2024年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网上竞价开始时间：2024年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网上竞价截止时间：2024年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须具备有效的《食品生产许可证》或《食品经营许可证》或《食品药品经营许可证》或《食品药品生产经营许可证》，须提供相关证件复印件。在</w:t>
      </w:r>
      <w:r>
        <w:rPr>
          <w:rFonts w:hint="eastAsia" w:ascii="宋体" w:hAnsi="宋体" w:cs="宋体"/>
          <w:b w:val="0"/>
          <w:bCs w:val="0"/>
          <w:color w:val="auto"/>
          <w:sz w:val="24"/>
          <w:szCs w:val="24"/>
          <w:highlight w:val="none"/>
          <w:lang w:eastAsia="zh-CN"/>
        </w:rPr>
        <w:t>报名</w:t>
      </w:r>
      <w:r>
        <w:rPr>
          <w:rFonts w:hint="eastAsia" w:ascii="宋体" w:hAnsi="宋体" w:eastAsia="宋体" w:cs="宋体"/>
          <w:b w:val="0"/>
          <w:bCs w:val="0"/>
          <w:color w:val="auto"/>
          <w:sz w:val="24"/>
          <w:szCs w:val="24"/>
          <w:highlight w:val="none"/>
        </w:rPr>
        <w:t>截止时间前，如因国家政策调整，国家有关行政部门有颁发新的食品方面许可证书的，应从其规定</w:t>
      </w:r>
      <w:r>
        <w:rPr>
          <w:rFonts w:hint="eastAsia" w:ascii="Times New Roman" w:hAnsi="Times New Roman"/>
          <w:color w:val="auto"/>
          <w:sz w:val="24"/>
          <w:highlight w:val="none"/>
        </w:rPr>
        <w:t>。</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pacing w:line="360" w:lineRule="auto"/>
        <w:ind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260</w:t>
      </w:r>
      <w:r>
        <w:rPr>
          <w:rFonts w:hint="eastAsia" w:ascii="宋体" w:hAnsi="宋体" w:cs="宋体"/>
          <w:color w:val="auto"/>
          <w:sz w:val="24"/>
          <w:highlight w:val="none"/>
        </w:rPr>
        <w:t>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福建省莆田荔兴轻工实业有限责任公司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址：福建省莆田市涵江区新涵大街2089号</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柯</w:t>
      </w:r>
      <w:r>
        <w:rPr>
          <w:rFonts w:hint="eastAsia" w:ascii="宋体" w:hAnsi="宋体" w:cs="宋体"/>
          <w:color w:val="auto"/>
          <w:sz w:val="24"/>
          <w:highlight w:val="none"/>
        </w:rPr>
        <w:t>先生、0594-3390775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田雪丽、欧文浩、陈一凡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中国招标投标公共服务平台（https://bulletin.cebpubservice.com）</w:t>
      </w:r>
    </w:p>
    <w:p>
      <w:pPr>
        <w:spacing w:line="360" w:lineRule="auto"/>
        <w:ind w:left="480"/>
        <w:rPr>
          <w:rFonts w:hint="eastAsia" w:ascii="宋体" w:hAnsi="宋体" w:eastAsia="宋体"/>
          <w:color w:val="auto"/>
          <w:sz w:val="24"/>
          <w:highlight w:val="none"/>
          <w:lang w:eastAsia="zh-CN"/>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4"/>
          <w:rFonts w:ascii="宋体" w:hAnsi="宋体" w:cs="宋体"/>
          <w:color w:val="auto"/>
          <w:sz w:val="24"/>
          <w:highlight w:val="none"/>
        </w:rPr>
        <w:t>http://121.42.9.114:8083/</w:t>
      </w:r>
      <w:r>
        <w:rPr>
          <w:rStyle w:val="24"/>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fldChar w:fldCharType="begin"/>
      </w:r>
      <w:r>
        <w:rPr>
          <w:rStyle w:val="30"/>
          <w:rFonts w:hint="eastAsia" w:ascii="宋体" w:hAnsi="宋体" w:cs="宋体"/>
          <w:color w:val="auto"/>
          <w:kern w:val="0"/>
          <w:sz w:val="24"/>
          <w:highlight w:val="none"/>
          <w:u w:val="single"/>
        </w:rPr>
        <w:instrText xml:space="preserve"> HYPERLINK "https://www.jiankunzx.com/yewuliucheng/1503.html" </w:instrText>
      </w:r>
      <w:r>
        <w:rPr>
          <w:rStyle w:val="30"/>
          <w:rFonts w:hint="eastAsia" w:ascii="宋体" w:hAnsi="宋体" w:cs="宋体"/>
          <w:color w:val="auto"/>
          <w:kern w:val="0"/>
          <w:sz w:val="24"/>
          <w:highlight w:val="none"/>
          <w:u w:val="single"/>
        </w:rPr>
        <w:fldChar w:fldCharType="separate"/>
      </w:r>
      <w:r>
        <w:rPr>
          <w:rStyle w:val="30"/>
          <w:rFonts w:hint="eastAsia" w:ascii="宋体" w:hAnsi="宋体" w:cs="宋体"/>
          <w:color w:val="auto"/>
          <w:kern w:val="0"/>
          <w:sz w:val="24"/>
          <w:highlight w:val="none"/>
          <w:u w:val="single"/>
        </w:rPr>
        <w:t>https://www.jiankunzx.com/yewuliucheng/1503.html</w:t>
      </w:r>
      <w:r>
        <w:rPr>
          <w:rStyle w:val="30"/>
          <w:rFonts w:hint="eastAsia" w:ascii="宋体" w:hAnsi="宋体" w:cs="宋体"/>
          <w:color w:val="auto"/>
          <w:kern w:val="0"/>
          <w:sz w:val="24"/>
          <w:highlight w:val="none"/>
          <w:u w:val="single"/>
        </w:rPr>
        <w:fldChar w:fldCharType="end"/>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6"/>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r>
        <w:rPr>
          <w:rFonts w:hint="eastAsia" w:ascii="宋体" w:hAnsi="宋体"/>
          <w:sz w:val="24"/>
          <w:szCs w:val="24"/>
          <w:highlight w:val="none"/>
        </w:rPr>
        <w:t>；</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7"/>
        <w:spacing w:line="360" w:lineRule="auto"/>
        <w:rPr>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8016816"/>
      <w:bookmarkStart w:id="2" w:name="_Toc359317661"/>
      <w:bookmarkStart w:id="3" w:name="_Toc347060296"/>
      <w:bookmarkStart w:id="4" w:name="_Toc346300367"/>
      <w:bookmarkStart w:id="5" w:name="_Toc327948617"/>
      <w:bookmarkStart w:id="6" w:name="_Toc330567034"/>
      <w:r>
        <w:rPr>
          <w:rFonts w:hint="eastAsia" w:ascii="宋体" w:hAnsi="宋体" w:cs="宋体"/>
          <w:b/>
          <w:color w:val="auto"/>
          <w:sz w:val="24"/>
          <w:highlight w:val="none"/>
        </w:rPr>
        <w:t>一、项目概述</w:t>
      </w:r>
      <w:bookmarkEnd w:id="1"/>
      <w:bookmarkEnd w:id="2"/>
    </w:p>
    <w:p>
      <w:pPr>
        <w:pStyle w:val="31"/>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56"/>
        <w:gridCol w:w="2475"/>
        <w:gridCol w:w="914"/>
        <w:gridCol w:w="1111"/>
        <w:gridCol w:w="161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4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3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867" w:type="pct"/>
            <w:tcBorders>
              <w:top w:val="single" w:color="auto" w:sz="4" w:space="0"/>
              <w:left w:val="single" w:color="auto" w:sz="4" w:space="0"/>
              <w:bottom w:val="single" w:color="auto" w:sz="4" w:space="0"/>
              <w:right w:val="single" w:color="auto" w:sz="4" w:space="0"/>
            </w:tcBorders>
            <w:vAlign w:val="center"/>
          </w:tcPr>
          <w:p>
            <w:pPr>
              <w:pStyle w:val="11"/>
              <w:snapToGrid w:val="0"/>
              <w:ind w:left="-105" w:leftChars="-50" w:right="-105" w:rightChars="-50"/>
              <w:jc w:val="center"/>
              <w:rPr>
                <w:rFonts w:hint="eastAsia" w:ascii="宋体" w:hAnsi="宋体"/>
                <w:b/>
                <w:bCs/>
                <w:color w:val="auto"/>
                <w:kern w:val="0"/>
                <w:sz w:val="24"/>
                <w:szCs w:val="22"/>
                <w:highlight w:val="none"/>
              </w:rPr>
            </w:pPr>
            <w:r>
              <w:rPr>
                <w:rFonts w:hint="eastAsia" w:hAnsi="宋体" w:cs="宋体"/>
                <w:b/>
                <w:color w:val="auto"/>
                <w:sz w:val="24"/>
                <w:highlight w:val="none"/>
              </w:rPr>
              <w:t>单价最高限价</w:t>
            </w:r>
          </w:p>
        </w:tc>
        <w:tc>
          <w:tcPr>
            <w:tcW w:w="10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4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133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bCs/>
                <w:color w:val="auto"/>
                <w:kern w:val="0"/>
                <w:sz w:val="24"/>
                <w:highlight w:val="none"/>
              </w:rPr>
              <w:t>大桶（≥13.8L）</w:t>
            </w:r>
          </w:p>
        </w:tc>
        <w:tc>
          <w:tcPr>
            <w:tcW w:w="492" w:type="pct"/>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新宋体"/>
                <w:color w:val="auto"/>
                <w:kern w:val="0"/>
                <w:sz w:val="24"/>
                <w:highlight w:val="none"/>
                <w:lang w:eastAsia="zh-CN"/>
              </w:rPr>
            </w:pPr>
            <w:r>
              <w:rPr>
                <w:rFonts w:hint="eastAsia" w:ascii="宋体" w:hAnsi="宋体" w:cs="新宋体"/>
                <w:color w:val="auto"/>
                <w:kern w:val="0"/>
                <w:sz w:val="24"/>
                <w:highlight w:val="none"/>
                <w:lang w:val="en-US" w:eastAsia="zh-CN"/>
              </w:rPr>
              <w:t>1批</w:t>
            </w:r>
          </w:p>
        </w:tc>
        <w:tc>
          <w:tcPr>
            <w:tcW w:w="598" w:type="pct"/>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867"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auto"/>
                <w:kern w:val="0"/>
                <w:sz w:val="24"/>
                <w:highlight w:val="none"/>
              </w:rPr>
            </w:pPr>
            <w:r>
              <w:rPr>
                <w:rFonts w:hint="eastAsia" w:ascii="宋体" w:hAnsi="宋体" w:cs="宋体"/>
                <w:bCs/>
                <w:color w:val="auto"/>
                <w:kern w:val="0"/>
                <w:sz w:val="24"/>
                <w:highlight w:val="none"/>
              </w:rPr>
              <w:t>11.2元/桶</w:t>
            </w:r>
          </w:p>
        </w:tc>
        <w:tc>
          <w:tcPr>
            <w:tcW w:w="1054" w:type="pct"/>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spacing w:line="360" w:lineRule="auto"/>
              <w:jc w:val="center"/>
              <w:rPr>
                <w:rFonts w:hint="eastAsia" w:ascii="宋体" w:hAnsi="宋体"/>
                <w:color w:val="auto"/>
                <w:kern w:val="0"/>
                <w:sz w:val="24"/>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1-2</w:t>
            </w:r>
          </w:p>
        </w:tc>
        <w:tc>
          <w:tcPr>
            <w:tcW w:w="133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bCs/>
                <w:color w:val="auto"/>
                <w:kern w:val="0"/>
                <w:sz w:val="24"/>
                <w:highlight w:val="none"/>
              </w:rPr>
              <w:t>小桶（5L±0.5L)</w:t>
            </w:r>
          </w:p>
        </w:tc>
        <w:tc>
          <w:tcPr>
            <w:tcW w:w="492"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新宋体"/>
                <w:color w:val="auto"/>
                <w:kern w:val="0"/>
                <w:sz w:val="24"/>
                <w:highlight w:val="none"/>
                <w:lang w:val="en-US" w:eastAsia="zh-CN"/>
              </w:rPr>
            </w:pPr>
          </w:p>
        </w:tc>
        <w:tc>
          <w:tcPr>
            <w:tcW w:w="598"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auto"/>
                <w:kern w:val="0"/>
                <w:sz w:val="24"/>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auto"/>
                <w:kern w:val="0"/>
                <w:sz w:val="24"/>
                <w:highlight w:val="none"/>
              </w:rPr>
            </w:pPr>
            <w:r>
              <w:rPr>
                <w:rFonts w:hint="eastAsia" w:ascii="宋体" w:hAnsi="宋体" w:cs="宋体"/>
                <w:bCs/>
                <w:color w:val="auto"/>
                <w:kern w:val="0"/>
                <w:sz w:val="24"/>
                <w:highlight w:val="none"/>
              </w:rPr>
              <w:t>11元/桶</w:t>
            </w:r>
          </w:p>
        </w:tc>
        <w:tc>
          <w:tcPr>
            <w:tcW w:w="1054"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新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spacing w:line="360" w:lineRule="auto"/>
              <w:jc w:val="center"/>
              <w:rPr>
                <w:rFonts w:hint="eastAsia" w:ascii="宋体" w:hAnsi="宋体"/>
                <w:color w:val="auto"/>
                <w:kern w:val="0"/>
                <w:sz w:val="24"/>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1-3</w:t>
            </w:r>
          </w:p>
        </w:tc>
        <w:tc>
          <w:tcPr>
            <w:tcW w:w="133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bCs/>
                <w:color w:val="auto"/>
                <w:kern w:val="0"/>
                <w:sz w:val="24"/>
                <w:highlight w:val="none"/>
              </w:rPr>
              <w:t>瓶装水（500ML±50ML）</w:t>
            </w:r>
          </w:p>
        </w:tc>
        <w:tc>
          <w:tcPr>
            <w:tcW w:w="492"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新宋体"/>
                <w:color w:val="auto"/>
                <w:kern w:val="0"/>
                <w:sz w:val="24"/>
                <w:highlight w:val="none"/>
                <w:lang w:val="en-US" w:eastAsia="zh-CN"/>
              </w:rPr>
            </w:pPr>
          </w:p>
        </w:tc>
        <w:tc>
          <w:tcPr>
            <w:tcW w:w="598" w:type="pct"/>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auto"/>
                <w:kern w:val="0"/>
                <w:sz w:val="24"/>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auto"/>
                <w:kern w:val="0"/>
                <w:sz w:val="24"/>
                <w:highlight w:val="none"/>
              </w:rPr>
            </w:pPr>
            <w:r>
              <w:rPr>
                <w:rFonts w:hint="eastAsia" w:ascii="宋体" w:hAnsi="宋体" w:cs="宋体"/>
                <w:bCs/>
                <w:color w:val="auto"/>
                <w:kern w:val="0"/>
                <w:sz w:val="24"/>
                <w:highlight w:val="none"/>
              </w:rPr>
              <w:t>1.25元/瓶</w:t>
            </w:r>
          </w:p>
        </w:tc>
        <w:tc>
          <w:tcPr>
            <w:tcW w:w="1054" w:type="pct"/>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s="新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479"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贰拾陆万</w:t>
            </w:r>
            <w:r>
              <w:rPr>
                <w:rFonts w:hint="eastAsia" w:ascii="宋体" w:hAnsi="宋体"/>
                <w:color w:val="auto"/>
                <w:kern w:val="0"/>
                <w:sz w:val="24"/>
                <w:highlight w:val="none"/>
              </w:rPr>
              <w:t>元</w:t>
            </w:r>
          </w:p>
        </w:tc>
        <w:tc>
          <w:tcPr>
            <w:tcW w:w="252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新宋体"/>
                <w:color w:val="auto"/>
                <w:kern w:val="0"/>
                <w:sz w:val="24"/>
                <w:highlight w:val="none"/>
                <w:lang w:val="en-US" w:eastAsia="zh-CN"/>
              </w:rPr>
              <w:t>260000</w:t>
            </w:r>
            <w:r>
              <w:rPr>
                <w:rFonts w:hint="eastAsia" w:ascii="宋体" w:hAnsi="宋体" w:cs="新宋体"/>
                <w:color w:val="auto"/>
                <w:kern w:val="0"/>
                <w:sz w:val="24"/>
                <w:highlight w:val="none"/>
              </w:rPr>
              <w:t xml:space="preserve">.00  </w:t>
            </w:r>
          </w:p>
        </w:tc>
      </w:tr>
    </w:tbl>
    <w:p>
      <w:pPr>
        <w:pStyle w:val="6"/>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6"/>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饮用水采购项目</w:t>
      </w:r>
      <w:r>
        <w:rPr>
          <w:rFonts w:hint="eastAsia" w:cs="宋体"/>
          <w:b w:val="0"/>
          <w:bCs/>
          <w:color w:val="auto"/>
          <w:sz w:val="24"/>
          <w:highlight w:val="none"/>
        </w:rPr>
        <w:t>，预算金额</w:t>
      </w:r>
      <w:r>
        <w:rPr>
          <w:rFonts w:hint="eastAsia" w:cs="宋体"/>
          <w:b w:val="0"/>
          <w:bCs/>
          <w:color w:val="auto"/>
          <w:sz w:val="24"/>
          <w:highlight w:val="none"/>
          <w:lang w:val="en-US" w:eastAsia="zh-CN"/>
        </w:rPr>
        <w:t>26万</w:t>
      </w:r>
      <w:bookmarkStart w:id="24" w:name="_GoBack"/>
      <w:bookmarkEnd w:id="24"/>
      <w:r>
        <w:rPr>
          <w:rFonts w:hint="eastAsia" w:cs="宋体"/>
          <w:b w:val="0"/>
          <w:bCs/>
          <w:color w:val="auto"/>
          <w:sz w:val="24"/>
          <w:highlight w:val="none"/>
        </w:rPr>
        <w:t>元。要求供应商根据本网上竞价文件提出的技术要求对所需货物及技术服务等进行报价。</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.报价说明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.1本项目为折扣报价。供应商须对所投合同包内的所有产品进行统一的折扣报价（即供应商所投所有产品只能有唯一一个折扣报价），各供应商在网上竞价平台上填写的合同包投标总价=</w:t>
      </w:r>
      <w:r>
        <w:rPr>
          <w:rFonts w:hint="eastAsia" w:ascii="宋体" w:hAnsi="宋体" w:cs="宋体"/>
          <w:color w:val="auto"/>
          <w:sz w:val="24"/>
          <w:highlight w:val="none"/>
          <w:lang w:val="en-US" w:eastAsia="zh-CN"/>
        </w:rPr>
        <w:t>260000</w:t>
      </w:r>
      <w:r>
        <w:rPr>
          <w:rFonts w:hint="eastAsia" w:ascii="宋体" w:hAnsi="宋体" w:cs="宋体"/>
          <w:color w:val="auto"/>
          <w:kern w:val="0"/>
          <w:sz w:val="24"/>
          <w:highlight w:val="none"/>
        </w:rPr>
        <w:t>元×所报折扣。举例说明：供应商所报折扣为9折，则网上竞价平台上填写的投标总价为</w:t>
      </w:r>
      <w:r>
        <w:rPr>
          <w:rFonts w:hint="eastAsia" w:ascii="宋体" w:hAnsi="宋体" w:cs="宋体"/>
          <w:color w:val="auto"/>
          <w:sz w:val="24"/>
          <w:highlight w:val="none"/>
          <w:lang w:eastAsia="zh-CN"/>
        </w:rPr>
        <w:t>260000</w:t>
      </w:r>
      <w:r>
        <w:rPr>
          <w:rFonts w:hint="eastAsia" w:ascii="宋体" w:hAnsi="宋体" w:cs="宋体"/>
          <w:color w:val="auto"/>
          <w:kern w:val="0"/>
          <w:sz w:val="24"/>
          <w:highlight w:val="none"/>
        </w:rPr>
        <w:t>元×0.9=234000元。网上竞价结束后，将按照其所报的合同包投标总价÷</w:t>
      </w:r>
      <w:r>
        <w:rPr>
          <w:rFonts w:hint="eastAsia" w:ascii="宋体" w:hAnsi="宋体" w:cs="宋体"/>
          <w:color w:val="auto"/>
          <w:sz w:val="24"/>
          <w:highlight w:val="none"/>
          <w:lang w:eastAsia="zh-CN"/>
        </w:rPr>
        <w:t>260000</w:t>
      </w:r>
      <w:r>
        <w:rPr>
          <w:rFonts w:hint="eastAsia" w:ascii="宋体" w:hAnsi="宋体" w:cs="宋体"/>
          <w:color w:val="auto"/>
          <w:kern w:val="0"/>
          <w:sz w:val="24"/>
          <w:highlight w:val="none"/>
        </w:rPr>
        <w:t>元计算成交折扣（成交折扣计算时保留小数点后两位，小数点后第三位四舍五入），并以此作为结算依据。</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供货时按下表中最高单价限价做为基准价，按成交统一折扣折算后的金额进行结算，结算价不超过260000元。若在采购总金额已经达到本项目预算总金额，则合同自动终止。若实际发生额超出本项目预算总金额，超出部分采购人不承担支付价款的责任。</w:t>
      </w:r>
    </w:p>
    <w:p>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5.3供应商所报的折扣率在合同实施期间保持不变，即不因市场价格或政策性价格的调整而增减。</w:t>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5.4该合同有效期1年，</w:t>
      </w:r>
      <w:r>
        <w:rPr>
          <w:rFonts w:hint="eastAsia" w:ascii="宋体" w:hAnsi="宋体" w:eastAsia="宋体" w:cs="宋体"/>
          <w:i w:val="0"/>
          <w:iCs w:val="0"/>
          <w:caps w:val="0"/>
          <w:color w:val="auto"/>
          <w:spacing w:val="0"/>
          <w:sz w:val="24"/>
          <w:szCs w:val="24"/>
          <w:highlight w:val="none"/>
          <w:shd w:val="clear" w:fill="FFFFFF"/>
        </w:rPr>
        <w:t>若合同期满或在合同期内采购总金额已经达到本项目预算金额，则本合同自动终止（即视为供货期限届满)；该金额包括中标人履行本项目所产生的一切费用,包括但不限于税费、配送及退换货物所产生的一切费用等。</w:t>
      </w:r>
    </w:p>
    <w:p>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ascii="宋体" w:hAnsi="宋体" w:cs="宋体"/>
          <w:b/>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hint="eastAsia"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w:t>
      </w:r>
      <w:r>
        <w:rPr>
          <w:rFonts w:hint="eastAsia"/>
          <w:color w:val="auto"/>
          <w:sz w:val="24"/>
          <w:szCs w:val="24"/>
          <w:highlight w:val="none"/>
        </w:rPr>
        <w:t>产品质量：应无色、透明、清澈、无异味、无异臭、没有肉眼可见物，符合《食品安全国家标准 饮用天然矿泉水》（GB 8537-2018）标准，若在服务期间出台了新的国家标准，则按最新标准执行。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szCs w:val="24"/>
          <w:highlight w:val="none"/>
        </w:rPr>
        <w:t>供应商须提供大桶（≥13.8L）、小桶（5L±0.5L)、瓶装水（500ML±50ML）</w:t>
      </w:r>
      <w:r>
        <w:rPr>
          <w:rFonts w:hint="eastAsia" w:ascii="宋体" w:hAnsi="宋体" w:cs="宋体"/>
          <w:color w:val="auto"/>
          <w:sz w:val="24"/>
          <w:szCs w:val="24"/>
          <w:highlight w:val="none"/>
        </w:rPr>
        <w:t>三种包装规格的矿泉水</w:t>
      </w:r>
      <w:r>
        <w:rPr>
          <w:rFonts w:hint="eastAsia" w:ascii="宋体" w:hAnsi="宋体" w:cs="宋体"/>
          <w:color w:val="auto"/>
          <w:kern w:val="0"/>
          <w:sz w:val="24"/>
          <w:szCs w:val="24"/>
          <w:highlight w:val="none"/>
        </w:rPr>
        <w:t>供采购人选择</w:t>
      </w:r>
      <w:r>
        <w:rPr>
          <w:rFonts w:hint="eastAsia" w:ascii="宋体" w:hAnsi="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szCs w:val="24"/>
          <w:highlight w:val="none"/>
        </w:rPr>
        <w:t>水源：</w:t>
      </w:r>
      <w:r>
        <w:rPr>
          <w:rFonts w:hint="eastAsia" w:ascii="宋体" w:hAnsi="宋体" w:cs="宋体"/>
          <w:b/>
          <w:bCs/>
          <w:color w:val="auto"/>
          <w:kern w:val="0"/>
          <w:sz w:val="24"/>
          <w:szCs w:val="24"/>
          <w:highlight w:val="none"/>
          <w:lang w:eastAsia="zh-CN"/>
        </w:rPr>
        <w:t>供应商须在响应文件中</w:t>
      </w:r>
      <w:r>
        <w:rPr>
          <w:rFonts w:hint="eastAsia" w:ascii="宋体" w:hAnsi="宋体" w:cs="宋体"/>
          <w:b/>
          <w:bCs/>
          <w:color w:val="auto"/>
          <w:kern w:val="0"/>
          <w:sz w:val="24"/>
          <w:szCs w:val="24"/>
          <w:highlight w:val="none"/>
        </w:rPr>
        <w:t>提供2020年以来任意一年由国家认可的质量检测机构出具的合格的水源检测报告复印件</w:t>
      </w:r>
      <w:r>
        <w:rPr>
          <w:rFonts w:hint="eastAsia" w:ascii="宋体" w:hAnsi="宋体" w:cs="宋体"/>
          <w:b/>
          <w:bCs/>
          <w:color w:val="auto"/>
          <w:kern w:val="0"/>
          <w:sz w:val="24"/>
          <w:szCs w:val="24"/>
          <w:highlight w:val="none"/>
          <w:lang w:eastAsia="zh-CN"/>
        </w:rPr>
        <w:t>，未提供的按无效响应处理</w:t>
      </w:r>
      <w:r>
        <w:rPr>
          <w:rFonts w:hint="eastAsia" w:ascii="宋体" w:hAnsi="宋体" w:cs="宋体"/>
          <w:color w:val="auto"/>
          <w:kern w:val="0"/>
          <w:sz w:val="24"/>
          <w:szCs w:val="24"/>
          <w:highlight w:val="none"/>
          <w:lang w:eastAsia="zh-CN"/>
        </w:rPr>
        <w:t>；成交供应商在第一次供货时须把检测报告送至采购人处备查</w:t>
      </w:r>
      <w:r>
        <w:rPr>
          <w:rFonts w:hint="eastAsia" w:ascii="宋体" w:hAnsi="宋体" w:cs="宋体"/>
          <w:color w:val="auto"/>
          <w:kern w:val="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水质：</w:t>
      </w:r>
      <w:r>
        <w:rPr>
          <w:rFonts w:hint="eastAsia" w:ascii="宋体" w:hAnsi="宋体" w:cs="宋体"/>
          <w:b/>
          <w:bCs/>
          <w:color w:val="auto"/>
          <w:kern w:val="0"/>
          <w:sz w:val="24"/>
          <w:szCs w:val="24"/>
          <w:highlight w:val="none"/>
          <w:lang w:eastAsia="zh-CN"/>
        </w:rPr>
        <w:t>供应商须在响应文件中</w:t>
      </w:r>
      <w:r>
        <w:rPr>
          <w:rFonts w:hint="eastAsia" w:ascii="宋体" w:hAnsi="宋体" w:cs="宋体"/>
          <w:b/>
          <w:bCs/>
          <w:color w:val="auto"/>
          <w:kern w:val="0"/>
          <w:sz w:val="24"/>
          <w:szCs w:val="24"/>
          <w:highlight w:val="none"/>
        </w:rPr>
        <w:t>提供2020年以来任意一年由国家认可的质量检测机构出具的合格的水质检测报告复印件</w:t>
      </w:r>
      <w:r>
        <w:rPr>
          <w:rFonts w:hint="eastAsia" w:ascii="宋体" w:hAnsi="宋体" w:cs="宋体"/>
          <w:b/>
          <w:bCs/>
          <w:color w:val="auto"/>
          <w:kern w:val="0"/>
          <w:sz w:val="24"/>
          <w:szCs w:val="24"/>
          <w:highlight w:val="none"/>
          <w:lang w:eastAsia="zh-CN"/>
        </w:rPr>
        <w:t>，未提供的按无效响应处理</w:t>
      </w:r>
      <w:r>
        <w:rPr>
          <w:rFonts w:hint="eastAsia" w:ascii="宋体" w:hAnsi="宋体" w:cs="宋体"/>
          <w:color w:val="auto"/>
          <w:kern w:val="0"/>
          <w:sz w:val="24"/>
          <w:szCs w:val="24"/>
          <w:highlight w:val="none"/>
          <w:lang w:eastAsia="zh-CN"/>
        </w:rPr>
        <w:t>；成交供应商在第一次供货时须把检测报告送至采购人处备查</w:t>
      </w:r>
      <w:r>
        <w:rPr>
          <w:rFonts w:hint="eastAsia" w:ascii="宋体" w:hAnsi="宋体" w:cs="宋体"/>
          <w:color w:val="auto"/>
          <w:kern w:val="0"/>
          <w:sz w:val="24"/>
          <w:szCs w:val="24"/>
          <w:highlight w:val="none"/>
        </w:rPr>
        <w:t>。</w:t>
      </w:r>
    </w:p>
    <w:p>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5.职明盖：为一次性使用，且为食品级聪明盖。</w:t>
      </w:r>
    </w:p>
    <w:p>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包装桶：为一次性使用，应为PC材质制成，晶莹透明，质感硬，表面光滑清亮，严禁二次利用，包装及外部设备符合国家标准的有关安全和卫生要求。</w:t>
      </w:r>
    </w:p>
    <w:p>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饮用桶装水的标签：标签应清晰标注其产品名称，净含量、制造者名称、地址、生产日期、保质期、产品标准号等内容。瓶身或瓶盖有高精度喷码的出厂日期和防伪标记。未采用喷码技术的生产日期应标注规范整齐。</w:t>
      </w:r>
    </w:p>
    <w:p>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成交供应商必须保障饮用桶装水的正常供应，确保水质标准及安全，安排专职人员的送水，桶装水的配送响应时间为2个小时内，并承担桶装水出厂送至采购人指定地点过程的所有费用。</w:t>
      </w:r>
      <w:r>
        <w:rPr>
          <w:rFonts w:hint="eastAsia" w:ascii="宋体" w:hAnsi="宋体" w:cs="宋体"/>
          <w:color w:val="auto"/>
          <w:kern w:val="0"/>
          <w:sz w:val="24"/>
          <w:szCs w:val="24"/>
          <w:highlight w:val="none"/>
          <w:lang w:eastAsia="zh-CN"/>
        </w:rPr>
        <w:t>若</w:t>
      </w:r>
      <w:r>
        <w:rPr>
          <w:rFonts w:hint="eastAsia" w:ascii="宋体" w:hAnsi="宋体" w:cs="宋体"/>
          <w:color w:val="auto"/>
          <w:kern w:val="0"/>
          <w:sz w:val="24"/>
          <w:szCs w:val="24"/>
          <w:highlight w:val="none"/>
        </w:rPr>
        <w:t>成交供应商</w:t>
      </w:r>
      <w:r>
        <w:rPr>
          <w:rFonts w:hint="eastAsia" w:ascii="宋体" w:hAnsi="宋体" w:cs="宋体"/>
          <w:color w:val="auto"/>
          <w:kern w:val="0"/>
          <w:sz w:val="24"/>
          <w:szCs w:val="24"/>
          <w:highlight w:val="none"/>
          <w:lang w:eastAsia="zh-CN"/>
        </w:rPr>
        <w:t>的工作人员在</w:t>
      </w:r>
      <w:r>
        <w:rPr>
          <w:rFonts w:hint="eastAsia" w:ascii="宋体" w:hAnsi="宋体" w:cs="宋体"/>
          <w:color w:val="auto"/>
          <w:kern w:val="0"/>
          <w:sz w:val="24"/>
          <w:szCs w:val="24"/>
          <w:highlight w:val="none"/>
        </w:rPr>
        <w:t>配送</w:t>
      </w:r>
      <w:r>
        <w:rPr>
          <w:rFonts w:hint="eastAsia" w:ascii="宋体" w:hAnsi="宋体" w:cs="宋体"/>
          <w:color w:val="auto"/>
          <w:kern w:val="0"/>
          <w:sz w:val="24"/>
          <w:szCs w:val="24"/>
          <w:highlight w:val="none"/>
          <w:lang w:eastAsia="zh-CN"/>
        </w:rPr>
        <w:t>过程中发生安全事故的，由此造成人身损害和财产损失，均与采购人无关。</w:t>
      </w:r>
    </w:p>
    <w:p>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运输工具应保持清洁、卫生，产品不得与有毒、有害、有腐蚀性、易挥发或有异味的物品混装运输，搬运时应轻拿轻放，严禁扔拌、撞击、挤压，运输过程不得曝晒、雨淋、受潮、冰冻。</w:t>
      </w:r>
    </w:p>
    <w:p>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成交供应商在饮用桶装水正常供应期问，须每六个月</w:t>
      </w:r>
      <w:r>
        <w:rPr>
          <w:rFonts w:hint="eastAsia" w:ascii="宋体" w:hAnsi="宋体" w:cs="宋体"/>
          <w:color w:val="auto"/>
          <w:kern w:val="0"/>
          <w:sz w:val="24"/>
          <w:szCs w:val="24"/>
          <w:highlight w:val="none"/>
          <w:lang w:eastAsia="zh-CN"/>
        </w:rPr>
        <w:t>供货时</w:t>
      </w:r>
      <w:r>
        <w:rPr>
          <w:rFonts w:hint="eastAsia" w:ascii="宋体" w:hAnsi="宋体" w:cs="宋体"/>
          <w:color w:val="auto"/>
          <w:kern w:val="0"/>
          <w:sz w:val="24"/>
          <w:szCs w:val="24"/>
          <w:highlight w:val="none"/>
        </w:rPr>
        <w:t>向采购人提供由国家认可的质量检测机构出具的合格的水源检测报告复印件。</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color w:val="auto"/>
          <w:kern w:val="0"/>
          <w:sz w:val="24"/>
          <w:szCs w:val="24"/>
          <w:highlight w:val="none"/>
          <w:u w:val="single"/>
          <w:lang w:eastAsia="zh-CN"/>
        </w:rPr>
      </w:pPr>
      <w:r>
        <w:rPr>
          <w:rFonts w:hint="eastAsia" w:ascii="宋体" w:hAnsi="宋体" w:cs="宋体"/>
          <w:b/>
          <w:bCs/>
          <w:color w:val="auto"/>
          <w:kern w:val="0"/>
          <w:sz w:val="24"/>
          <w:szCs w:val="24"/>
          <w:highlight w:val="none"/>
          <w:u w:val="single"/>
          <w:lang w:val="en-US" w:eastAsia="zh-CN"/>
        </w:rPr>
        <w:t>11.</w:t>
      </w:r>
      <w:r>
        <w:rPr>
          <w:rFonts w:hint="eastAsia" w:ascii="宋体" w:hAnsi="宋体" w:cs="宋体"/>
          <w:b/>
          <w:bCs/>
          <w:color w:val="auto"/>
          <w:kern w:val="0"/>
          <w:sz w:val="24"/>
          <w:szCs w:val="24"/>
          <w:highlight w:val="none"/>
          <w:u w:val="single"/>
          <w:lang w:eastAsia="zh-CN"/>
        </w:rPr>
        <w:t>成交后供应商</w:t>
      </w:r>
      <w:r>
        <w:rPr>
          <w:rFonts w:hint="eastAsia" w:ascii="宋体" w:hAnsi="宋体" w:cs="宋体"/>
          <w:b/>
          <w:bCs/>
          <w:color w:val="auto"/>
          <w:kern w:val="0"/>
          <w:sz w:val="24"/>
          <w:szCs w:val="24"/>
          <w:highlight w:val="none"/>
          <w:u w:val="single"/>
        </w:rPr>
        <w:t>实际供货水源地必须与</w:t>
      </w:r>
      <w:r>
        <w:rPr>
          <w:rFonts w:hint="eastAsia" w:ascii="宋体" w:hAnsi="宋体" w:cs="宋体"/>
          <w:b/>
          <w:bCs/>
          <w:color w:val="auto"/>
          <w:kern w:val="0"/>
          <w:sz w:val="24"/>
          <w:szCs w:val="24"/>
          <w:highlight w:val="none"/>
          <w:u w:val="single"/>
          <w:lang w:eastAsia="zh-CN"/>
        </w:rPr>
        <w:t>“</w:t>
      </w:r>
      <w:r>
        <w:rPr>
          <w:rFonts w:hint="eastAsia" w:ascii="宋体" w:hAnsi="宋体" w:cs="宋体"/>
          <w:b/>
          <w:bCs/>
          <w:color w:val="auto"/>
          <w:kern w:val="0"/>
          <w:sz w:val="24"/>
          <w:szCs w:val="24"/>
          <w:highlight w:val="none"/>
          <w:u w:val="single"/>
          <w:lang w:val="en-US" w:eastAsia="zh-CN"/>
        </w:rPr>
        <w:t>3.水源”</w:t>
      </w:r>
      <w:r>
        <w:rPr>
          <w:rFonts w:hint="eastAsia" w:ascii="宋体" w:hAnsi="宋体" w:cs="宋体"/>
          <w:b/>
          <w:bCs/>
          <w:color w:val="auto"/>
          <w:kern w:val="0"/>
          <w:sz w:val="24"/>
          <w:szCs w:val="24"/>
          <w:highlight w:val="none"/>
          <w:u w:val="single"/>
        </w:rPr>
        <w:t>检测报告</w:t>
      </w:r>
      <w:r>
        <w:rPr>
          <w:rFonts w:hint="eastAsia" w:ascii="宋体" w:hAnsi="宋体" w:cs="宋体"/>
          <w:b/>
          <w:bCs/>
          <w:color w:val="auto"/>
          <w:kern w:val="0"/>
          <w:sz w:val="24"/>
          <w:szCs w:val="24"/>
          <w:highlight w:val="none"/>
          <w:u w:val="single"/>
          <w:lang w:eastAsia="zh-CN"/>
        </w:rPr>
        <w:t>中</w:t>
      </w:r>
      <w:r>
        <w:rPr>
          <w:rFonts w:hint="eastAsia" w:ascii="宋体" w:hAnsi="宋体" w:cs="宋体"/>
          <w:b/>
          <w:bCs/>
          <w:color w:val="auto"/>
          <w:kern w:val="0"/>
          <w:sz w:val="24"/>
          <w:szCs w:val="24"/>
          <w:highlight w:val="none"/>
          <w:u w:val="single"/>
        </w:rPr>
        <w:t>的水源地一致</w:t>
      </w:r>
      <w:r>
        <w:rPr>
          <w:rFonts w:hint="eastAsia" w:ascii="宋体" w:hAnsi="宋体" w:cs="宋体"/>
          <w:b/>
          <w:bCs/>
          <w:color w:val="auto"/>
          <w:kern w:val="0"/>
          <w:sz w:val="24"/>
          <w:szCs w:val="24"/>
          <w:highlight w:val="none"/>
          <w:u w:val="single"/>
          <w:lang w:eastAsia="zh-CN"/>
        </w:rPr>
        <w:t>，否则采购人有权拒收并解除合同。供应商报名时须针对本条款进行单独承诺，提供专项承诺函（格式自拟），否则按照无效响应处理。</w:t>
      </w:r>
    </w:p>
    <w:p>
      <w:pPr>
        <w:pStyle w:val="2"/>
        <w:rPr>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3"/>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pPr>
        <w:pStyle w:val="3"/>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2.交付时间：接到采购人通知后2小时内送货上门。</w:t>
      </w:r>
    </w:p>
    <w:p>
      <w:pPr>
        <w:pStyle w:val="3"/>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3.交付条件：经采购人验收合格。</w:t>
      </w:r>
    </w:p>
    <w:p>
      <w:pPr>
        <w:pStyle w:val="3"/>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pPr>
        <w:spacing w:line="360" w:lineRule="auto"/>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履约保证金百分比：10%。说明：成交供应商在签订合同前应向采购人缴纳合同总价的10%作为履约保证金（若本项目成交供应商为中小企业的，履约保证金收取比例为合同总总价的5%；为小微企业的，履约保证金收取比例为合同总总价的4%），否则视为自动放弃成交资格。履约保证金以银行转账、支票、汇票、本票或者金融机构、担保机构出具的无条件支付保函等非现金形式向采购人提交，履约保证金在合同约定全部事项（含售后维保期）履行完毕，经采购人确认双方无未了事项后，采购人在收到成交供应商书面申请30日内无息退还。</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5.验收方式：</w:t>
      </w:r>
    </w:p>
    <w:p>
      <w:pPr>
        <w:widowControl/>
        <w:tabs>
          <w:tab w:val="left" w:pos="900"/>
          <w:tab w:val="left" w:pos="1100"/>
        </w:tabs>
        <w:spacing w:line="360" w:lineRule="auto"/>
        <w:ind w:firstLine="482" w:firstLineChars="200"/>
        <w:jc w:val="left"/>
        <w:textAlignment w:val="baseline"/>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5.1成交供应商必须严格按照现行饮用桶装矿泉水国家标准向采购人提供合格的产品；若国家颁发了最新标准，则立即参照最新标准执行。</w:t>
      </w:r>
    </w:p>
    <w:p>
      <w:pPr>
        <w:widowControl/>
        <w:tabs>
          <w:tab w:val="left" w:pos="900"/>
          <w:tab w:val="left" w:pos="1100"/>
        </w:tabs>
        <w:spacing w:line="360" w:lineRule="auto"/>
        <w:ind w:firstLine="482" w:firstLineChars="200"/>
        <w:jc w:val="left"/>
        <w:textAlignment w:val="baseline"/>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5.2在合同期间，采购人可随时对成交供应商未开封的桶装水进行水质抽检，若发现成交供应商提供的桶装水未达到国家质量标准，采购人有权拒付本月桶装水费用并终止合同，且此次抽检费用由成交供应商承担。</w:t>
      </w:r>
    </w:p>
    <w:p>
      <w:pPr>
        <w:widowControl/>
        <w:tabs>
          <w:tab w:val="left" w:pos="900"/>
          <w:tab w:val="left" w:pos="1100"/>
        </w:tabs>
        <w:spacing w:line="360" w:lineRule="auto"/>
        <w:ind w:firstLine="482" w:firstLineChars="200"/>
        <w:jc w:val="left"/>
        <w:textAlignment w:val="baseline"/>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5.3在合同期间，成交供应商每半年须对所供应的桶装水进行水质检验，并将检测报告复印件提交采购人。</w:t>
      </w:r>
    </w:p>
    <w:p>
      <w:pPr>
        <w:widowControl/>
        <w:tabs>
          <w:tab w:val="left" w:pos="900"/>
          <w:tab w:val="left" w:pos="1100"/>
        </w:tabs>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支付方式：</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按照采购人每月实际需求的数量供货，货款</w:t>
      </w:r>
      <w:r>
        <w:rPr>
          <w:rFonts w:hint="eastAsia" w:ascii="宋体" w:hAnsi="宋体" w:cs="宋体"/>
          <w:b/>
          <w:bCs/>
          <w:color w:val="auto"/>
          <w:sz w:val="24"/>
          <w:highlight w:val="none"/>
          <w:lang w:val="en-US" w:eastAsia="zh-CN"/>
        </w:rPr>
        <w:t>=</w:t>
      </w:r>
      <w:r>
        <w:rPr>
          <w:rFonts w:hint="eastAsia" w:hAnsi="宋体" w:cs="宋体"/>
          <w:b/>
          <w:color w:val="auto"/>
          <w:sz w:val="24"/>
          <w:highlight w:val="none"/>
        </w:rPr>
        <w:t>单价最高限价</w:t>
      </w:r>
      <w:r>
        <w:rPr>
          <w:rFonts w:hint="eastAsia" w:hAnsi="宋体" w:cs="宋体"/>
          <w:b/>
          <w:color w:val="auto"/>
          <w:sz w:val="24"/>
          <w:highlight w:val="none"/>
          <w:lang w:val="en-US" w:eastAsia="zh-CN"/>
        </w:rPr>
        <w:t>x成交折扣x</w:t>
      </w:r>
      <w:r>
        <w:rPr>
          <w:rFonts w:hint="eastAsia" w:ascii="宋体" w:hAnsi="宋体" w:cs="宋体"/>
          <w:b/>
          <w:bCs/>
          <w:color w:val="auto"/>
          <w:sz w:val="24"/>
          <w:highlight w:val="none"/>
        </w:rPr>
        <w:t>实际采购的数量，每月结算一次。（每次结算的货款金额以采购人签收的送货单据为准），采购人在收到</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增值税</w:t>
      </w:r>
      <w:r>
        <w:rPr>
          <w:rFonts w:hint="eastAsia" w:ascii="宋体" w:hAnsi="宋体" w:cs="宋体"/>
          <w:b/>
          <w:bCs/>
          <w:color w:val="auto"/>
          <w:sz w:val="24"/>
          <w:highlight w:val="none"/>
          <w:lang w:eastAsia="zh-CN"/>
        </w:rPr>
        <w:t>专用</w:t>
      </w:r>
      <w:r>
        <w:rPr>
          <w:rFonts w:hint="eastAsia" w:ascii="宋体" w:hAnsi="宋体" w:cs="宋体"/>
          <w:b/>
          <w:bCs/>
          <w:color w:val="auto"/>
          <w:sz w:val="24"/>
          <w:highlight w:val="none"/>
        </w:rPr>
        <w:t>发票</w:t>
      </w:r>
      <w:r>
        <w:rPr>
          <w:rFonts w:hint="eastAsia" w:ascii="宋体" w:hAnsi="宋体" w:cs="宋体"/>
          <w:b/>
          <w:bCs/>
          <w:color w:val="auto"/>
          <w:sz w:val="24"/>
          <w:highlight w:val="none"/>
          <w:lang w:eastAsia="zh-CN"/>
        </w:rPr>
        <w:t>，经采购人审签无误后</w:t>
      </w:r>
      <w:r>
        <w:rPr>
          <w:rFonts w:hint="eastAsia" w:ascii="宋体" w:hAnsi="宋体" w:cs="宋体"/>
          <w:b/>
          <w:bCs/>
          <w:color w:val="auto"/>
          <w:sz w:val="24"/>
          <w:highlight w:val="none"/>
        </w:rPr>
        <w:t>20日内</w:t>
      </w:r>
      <w:r>
        <w:rPr>
          <w:rFonts w:hint="eastAsia" w:ascii="宋体" w:hAnsi="宋体" w:cs="宋体"/>
          <w:b/>
          <w:bCs/>
          <w:color w:val="auto"/>
          <w:sz w:val="24"/>
          <w:highlight w:val="none"/>
          <w:lang w:eastAsia="zh-CN"/>
        </w:rPr>
        <w:t>支付上一个月货款</w:t>
      </w:r>
      <w:r>
        <w:rPr>
          <w:rFonts w:hint="eastAsia" w:ascii="宋体" w:hAnsi="宋体" w:cs="宋体"/>
          <w:b/>
          <w:bCs/>
          <w:color w:val="auto"/>
          <w:sz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7.包装及运输</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7.1货物包装及运输由成交供应商负责将货物按签订合同的具体数量、具体地点运送到最终目的地至验收合格交付采购人使用。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7.2货物包装必须与运输方式相适应，包装方式的确定及包装费用均由成交供应商负责；由于不适当的包装而造成货物在运输过程中有任何损坏由成交供应商负责。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8.售后服务</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在接到采购人的售后电话立即做出答复，在接到采购人通知后</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小时内上门解决用户问题，一般问题在</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小时内解决，当产品出现非人为损坏的破损等质量问题时，</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在接到采购人通知之日起</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天内提供免费（包括材料费、工时费和运输费等）更换直至质量没有问题能正常使用。当采购人出现产品供应突发紧缺情况时，</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当天进行送货。</w:t>
      </w:r>
    </w:p>
    <w:p>
      <w:pPr>
        <w:widowControl/>
        <w:tabs>
          <w:tab w:val="left" w:pos="900"/>
          <w:tab w:val="left" w:pos="1100"/>
        </w:tabs>
        <w:spacing w:line="360" w:lineRule="auto"/>
        <w:ind w:firstLine="482" w:firstLineChars="200"/>
        <w:jc w:val="left"/>
        <w:textAlignment w:val="baseline"/>
        <w:rPr>
          <w:rFonts w:ascii="宋体" w:hAnsi="宋体"/>
          <w:color w:val="auto"/>
          <w:sz w:val="24"/>
          <w:highlight w:val="none"/>
        </w:rPr>
      </w:pPr>
      <w:r>
        <w:rPr>
          <w:rFonts w:hint="eastAsia" w:ascii="宋体" w:hAnsi="宋体" w:cs="宋体"/>
          <w:b/>
          <w:bCs/>
          <w:color w:val="auto"/>
          <w:sz w:val="24"/>
          <w:highlight w:val="none"/>
        </w:rPr>
        <w:t>9.违约责任：</w:t>
      </w:r>
    </w:p>
    <w:bookmarkEnd w:id="3"/>
    <w:bookmarkEnd w:id="4"/>
    <w:bookmarkEnd w:id="5"/>
    <w:bookmarkEnd w:id="6"/>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rPr>
        <w:t>（1）解除合同违约责任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rPr>
        <w:t>签订合同后因</w:t>
      </w:r>
      <w:r>
        <w:rPr>
          <w:rFonts w:hint="eastAsia"/>
          <w:color w:val="auto"/>
          <w:highlight w:val="none"/>
          <w:lang w:val="zh-TW" w:eastAsia="zh-CN"/>
        </w:rPr>
        <w:t>成交供应商</w:t>
      </w:r>
      <w:r>
        <w:rPr>
          <w:rFonts w:hint="eastAsia"/>
          <w:color w:val="auto"/>
          <w:highlight w:val="none"/>
          <w:lang w:val="zh-TW"/>
        </w:rPr>
        <w:t>任何违约行为导致本合同无法正常继续履行或提前终止，采购人有权不予退还履约保证金。</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2</w:t>
      </w:r>
      <w:r>
        <w:rPr>
          <w:rFonts w:hint="eastAsia"/>
          <w:color w:val="auto"/>
          <w:highlight w:val="none"/>
          <w:lang w:val="zh-TW" w:eastAsia="zh-CN"/>
        </w:rPr>
        <w:t>）</w:t>
      </w:r>
      <w:r>
        <w:rPr>
          <w:rFonts w:hint="eastAsia"/>
          <w:color w:val="auto"/>
          <w:highlight w:val="none"/>
          <w:lang w:val="zh-TW"/>
        </w:rPr>
        <w:t>逾期交货违约责任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eastAsia="zh-CN"/>
        </w:rPr>
        <w:t>成交供应商</w:t>
      </w:r>
      <w:r>
        <w:rPr>
          <w:rFonts w:hint="eastAsia"/>
          <w:color w:val="auto"/>
          <w:highlight w:val="none"/>
          <w:lang w:val="zh-TW"/>
        </w:rPr>
        <w:t>未能按合同规定的时间按时交货或提供售后服务的，采购人有权选择同意延期还是不予延期，采购人同意延长交货期及售后服务时间的，延期时间由双方另行确定。采购人如不同意延长交货期及售后时间的，每逾期交货一天，按逾期一天支付采购人合同总价1%的违约金并继续履行应尽的配送及附随服务；若</w:t>
      </w:r>
      <w:r>
        <w:rPr>
          <w:rFonts w:hint="eastAsia"/>
          <w:color w:val="auto"/>
          <w:highlight w:val="none"/>
          <w:lang w:val="zh-TW" w:eastAsia="zh-CN"/>
        </w:rPr>
        <w:t>成交供应商</w:t>
      </w:r>
      <w:r>
        <w:rPr>
          <w:rFonts w:hint="eastAsia"/>
          <w:color w:val="auto"/>
          <w:highlight w:val="none"/>
          <w:lang w:val="zh-TW"/>
        </w:rPr>
        <w:t>延迟交货的</w:t>
      </w:r>
      <w:r>
        <w:rPr>
          <w:rFonts w:hint="eastAsia"/>
          <w:color w:val="auto"/>
          <w:highlight w:val="none"/>
          <w:lang w:val="en-US" w:eastAsia="zh-CN"/>
        </w:rPr>
        <w:t>2</w:t>
      </w:r>
      <w:r>
        <w:rPr>
          <w:rFonts w:hint="eastAsia"/>
          <w:color w:val="auto"/>
          <w:highlight w:val="none"/>
          <w:lang w:val="zh-TW"/>
        </w:rPr>
        <w:t>天（含）以上的，视为</w:t>
      </w:r>
      <w:r>
        <w:rPr>
          <w:rFonts w:hint="eastAsia"/>
          <w:color w:val="auto"/>
          <w:highlight w:val="none"/>
          <w:lang w:val="zh-TW" w:eastAsia="zh-CN"/>
        </w:rPr>
        <w:t>成交供应商</w:t>
      </w:r>
      <w:r>
        <w:rPr>
          <w:rFonts w:hint="eastAsia"/>
          <w:color w:val="auto"/>
          <w:highlight w:val="none"/>
          <w:lang w:val="zh-TW"/>
        </w:rPr>
        <w:t>不能交货，采购人另行自行采购所需货品，</w:t>
      </w:r>
      <w:r>
        <w:rPr>
          <w:rFonts w:hint="eastAsia"/>
          <w:color w:val="auto"/>
          <w:highlight w:val="none"/>
          <w:lang w:val="zh-TW" w:eastAsia="zh-CN"/>
        </w:rPr>
        <w:t>成交供应商</w:t>
      </w:r>
      <w:r>
        <w:rPr>
          <w:rFonts w:hint="eastAsia"/>
          <w:color w:val="auto"/>
          <w:highlight w:val="none"/>
          <w:lang w:val="zh-TW"/>
        </w:rPr>
        <w:t>除应支付迟延履行违约金外，还应对采购人另行采购所产生的差价、所支出的费用等损失承担赔偿责任。违约金直接从采购人应支付</w:t>
      </w:r>
      <w:r>
        <w:rPr>
          <w:rFonts w:hint="eastAsia"/>
          <w:color w:val="auto"/>
          <w:highlight w:val="none"/>
          <w:lang w:val="zh-TW" w:eastAsia="zh-CN"/>
        </w:rPr>
        <w:t>成交供应商</w:t>
      </w:r>
      <w:r>
        <w:rPr>
          <w:rFonts w:hint="eastAsia"/>
          <w:color w:val="auto"/>
          <w:highlight w:val="none"/>
          <w:lang w:val="zh-TW"/>
        </w:rPr>
        <w:t>的费用中扣除。</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3</w:t>
      </w:r>
      <w:r>
        <w:rPr>
          <w:rFonts w:hint="eastAsia"/>
          <w:color w:val="auto"/>
          <w:highlight w:val="none"/>
          <w:lang w:val="zh-TW" w:eastAsia="zh-CN"/>
        </w:rPr>
        <w:t>）</w:t>
      </w:r>
      <w:r>
        <w:rPr>
          <w:rFonts w:hint="eastAsia"/>
          <w:color w:val="auto"/>
          <w:highlight w:val="none"/>
          <w:lang w:val="zh-TW"/>
        </w:rPr>
        <w:t>货物数量不符违约责任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default"/>
          <w:color w:val="auto"/>
          <w:highlight w:val="none"/>
          <w:lang w:val="en-US" w:eastAsia="zh-CN"/>
        </w:rPr>
        <w:t>①</w:t>
      </w:r>
      <w:r>
        <w:rPr>
          <w:rFonts w:hint="eastAsia"/>
          <w:color w:val="auto"/>
          <w:highlight w:val="none"/>
          <w:lang w:val="zh-TW" w:eastAsia="zh-CN"/>
        </w:rPr>
        <w:t>成交供应商</w:t>
      </w:r>
      <w:r>
        <w:rPr>
          <w:rFonts w:hint="eastAsia"/>
          <w:color w:val="auto"/>
          <w:highlight w:val="none"/>
          <w:lang w:val="zh-TW"/>
        </w:rPr>
        <w:t>须按采购人要求将足量的货物交付，所送货物少于采购人要求，采购人应通知</w:t>
      </w:r>
      <w:r>
        <w:rPr>
          <w:rFonts w:hint="eastAsia"/>
          <w:color w:val="auto"/>
          <w:highlight w:val="none"/>
          <w:lang w:val="zh-TW" w:eastAsia="zh-CN"/>
        </w:rPr>
        <w:t>成交供应商</w:t>
      </w:r>
      <w:r>
        <w:rPr>
          <w:rFonts w:hint="eastAsia"/>
          <w:color w:val="auto"/>
          <w:highlight w:val="none"/>
          <w:lang w:val="zh-TW"/>
        </w:rPr>
        <w:t>及时补足，若</w:t>
      </w:r>
      <w:r>
        <w:rPr>
          <w:rFonts w:hint="eastAsia"/>
          <w:color w:val="auto"/>
          <w:highlight w:val="none"/>
          <w:lang w:val="zh-TW" w:eastAsia="zh-CN"/>
        </w:rPr>
        <w:t>成交供应商</w:t>
      </w:r>
      <w:r>
        <w:rPr>
          <w:rFonts w:hint="eastAsia"/>
          <w:color w:val="auto"/>
          <w:highlight w:val="none"/>
          <w:lang w:val="zh-TW"/>
        </w:rPr>
        <w:t>未在约定的时限内补足货物影响采购人工作的，</w:t>
      </w:r>
      <w:r>
        <w:rPr>
          <w:rFonts w:hint="eastAsia"/>
          <w:color w:val="auto"/>
          <w:highlight w:val="none"/>
          <w:lang w:val="zh-TW" w:eastAsia="zh-CN"/>
        </w:rPr>
        <w:t>成交供应商</w:t>
      </w:r>
      <w:r>
        <w:rPr>
          <w:rFonts w:hint="eastAsia"/>
          <w:color w:val="auto"/>
          <w:highlight w:val="none"/>
          <w:lang w:val="zh-TW"/>
        </w:rPr>
        <w:t>须支付采购人违约金，每逾期一天，按逾期一天支付采购人500元违约金且采购人有权对不足的货物部分另行采购，另行采购所发生的费用（包括采购物资费、交通费等）全部由</w:t>
      </w:r>
      <w:r>
        <w:rPr>
          <w:rFonts w:hint="eastAsia"/>
          <w:color w:val="auto"/>
          <w:highlight w:val="none"/>
          <w:lang w:val="zh-TW" w:eastAsia="zh-CN"/>
        </w:rPr>
        <w:t>成交供应商</w:t>
      </w:r>
      <w:r>
        <w:rPr>
          <w:rFonts w:hint="eastAsia"/>
          <w:color w:val="auto"/>
          <w:highlight w:val="none"/>
          <w:lang w:val="zh-TW"/>
        </w:rPr>
        <w:t>承担。采购人有权从应付货款中直接扣除违约金、另行采购所支出的费用。</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default"/>
          <w:color w:val="auto"/>
          <w:highlight w:val="none"/>
          <w:lang w:val="zh-TW"/>
        </w:rPr>
        <w:t>②</w:t>
      </w:r>
      <w:r>
        <w:rPr>
          <w:rFonts w:hint="eastAsia"/>
          <w:color w:val="auto"/>
          <w:highlight w:val="none"/>
          <w:lang w:val="zh-TW" w:eastAsia="zh-CN"/>
        </w:rPr>
        <w:t>成交供应商</w:t>
      </w:r>
      <w:r>
        <w:rPr>
          <w:rFonts w:hint="eastAsia"/>
          <w:color w:val="auto"/>
          <w:highlight w:val="none"/>
          <w:lang w:val="zh-TW"/>
        </w:rPr>
        <w:t>在配送期间，如出现货品配送价与合同价格不符及实际货物与配送清单（即本合同确定的品牌、规格、型号、质量等要求）不符的情况，发现一次，</w:t>
      </w:r>
      <w:r>
        <w:rPr>
          <w:rFonts w:hint="eastAsia"/>
          <w:color w:val="auto"/>
          <w:highlight w:val="none"/>
          <w:lang w:val="zh-TW" w:eastAsia="zh-CN"/>
        </w:rPr>
        <w:t>成交供应商</w:t>
      </w:r>
      <w:r>
        <w:rPr>
          <w:rFonts w:hint="eastAsia"/>
          <w:color w:val="auto"/>
          <w:highlight w:val="none"/>
          <w:lang w:val="zh-TW"/>
        </w:rPr>
        <w:t>应向采购人支付500元的违约金且应按成交报价材料记载的货物和价格承担继续履行、更换货物等责任，若上述违约事项发生3次以上（含）或货物经</w:t>
      </w:r>
      <w:r>
        <w:rPr>
          <w:rFonts w:hint="eastAsia"/>
          <w:color w:val="auto"/>
          <w:highlight w:val="none"/>
          <w:lang w:val="zh-TW" w:eastAsia="zh-CN"/>
        </w:rPr>
        <w:t>成交供应商</w:t>
      </w:r>
      <w:r>
        <w:rPr>
          <w:rFonts w:hint="eastAsia"/>
          <w:color w:val="auto"/>
          <w:highlight w:val="none"/>
          <w:lang w:val="zh-TW"/>
        </w:rPr>
        <w:t>更换后仍无法达到要求的，</w:t>
      </w:r>
      <w:r>
        <w:rPr>
          <w:rFonts w:hint="eastAsia"/>
          <w:color w:val="auto"/>
          <w:highlight w:val="none"/>
          <w:lang w:val="zh-TW" w:eastAsia="zh-CN"/>
        </w:rPr>
        <w:t>成交供应商</w:t>
      </w:r>
      <w:r>
        <w:rPr>
          <w:rFonts w:hint="eastAsia"/>
          <w:color w:val="auto"/>
          <w:highlight w:val="none"/>
          <w:lang w:val="zh-TW"/>
        </w:rPr>
        <w:t>除按约定交纳违约金外，采购人还有权单方解除合同。</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4</w:t>
      </w:r>
      <w:r>
        <w:rPr>
          <w:rFonts w:hint="eastAsia"/>
          <w:color w:val="auto"/>
          <w:highlight w:val="none"/>
          <w:lang w:val="zh-TW" w:eastAsia="zh-CN"/>
        </w:rPr>
        <w:t>）</w:t>
      </w:r>
      <w:r>
        <w:rPr>
          <w:rFonts w:hint="eastAsia"/>
          <w:color w:val="auto"/>
          <w:highlight w:val="none"/>
          <w:lang w:val="zh-TW"/>
        </w:rPr>
        <w:t>货物质量不符违约责任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default"/>
          <w:color w:val="auto"/>
          <w:highlight w:val="none"/>
          <w:lang w:val="zh-TW"/>
        </w:rPr>
        <w:t>①</w:t>
      </w:r>
      <w:r>
        <w:rPr>
          <w:rFonts w:hint="eastAsia"/>
          <w:color w:val="auto"/>
          <w:highlight w:val="none"/>
          <w:lang w:val="zh-TW" w:eastAsia="zh-CN"/>
        </w:rPr>
        <w:t>成交供应商</w:t>
      </w:r>
      <w:r>
        <w:rPr>
          <w:rFonts w:hint="eastAsia"/>
          <w:color w:val="auto"/>
          <w:highlight w:val="none"/>
          <w:lang w:val="zh-TW"/>
        </w:rPr>
        <w:t>提供的货物质量不符合合同约定的，</w:t>
      </w:r>
      <w:r>
        <w:rPr>
          <w:rFonts w:hint="eastAsia"/>
          <w:color w:val="auto"/>
          <w:highlight w:val="none"/>
          <w:lang w:val="zh-TW" w:eastAsia="zh-CN"/>
        </w:rPr>
        <w:t>成交供应商</w:t>
      </w:r>
      <w:r>
        <w:rPr>
          <w:rFonts w:hint="eastAsia"/>
          <w:color w:val="auto"/>
          <w:highlight w:val="none"/>
          <w:lang w:val="zh-TW"/>
        </w:rPr>
        <w:t>应无条件予以配合免费退货换货，因退换货不及时影响采购人工作的，发现一次，</w:t>
      </w:r>
      <w:r>
        <w:rPr>
          <w:rFonts w:hint="eastAsia"/>
          <w:color w:val="auto"/>
          <w:highlight w:val="none"/>
          <w:lang w:val="zh-TW" w:eastAsia="zh-CN"/>
        </w:rPr>
        <w:t>成交供应商</w:t>
      </w:r>
      <w:r>
        <w:rPr>
          <w:rFonts w:hint="eastAsia"/>
          <w:color w:val="auto"/>
          <w:highlight w:val="none"/>
          <w:lang w:val="zh-TW"/>
        </w:rPr>
        <w:t>应向采购人支付500元违约金；因产品质量问题造成采购人或任何第三方损害的，</w:t>
      </w:r>
      <w:r>
        <w:rPr>
          <w:rFonts w:hint="eastAsia"/>
          <w:color w:val="auto"/>
          <w:highlight w:val="none"/>
          <w:lang w:val="zh-TW" w:eastAsia="zh-CN"/>
        </w:rPr>
        <w:t>成交供应商</w:t>
      </w:r>
      <w:r>
        <w:rPr>
          <w:rFonts w:hint="eastAsia"/>
          <w:color w:val="auto"/>
          <w:highlight w:val="none"/>
          <w:lang w:val="zh-TW"/>
        </w:rPr>
        <w:t>应承担一切损害赔偿、法律责任，采购人有权单方解除合同，不予退还履约保证金。违约金不足以弥补给采购人造成的损失的，</w:t>
      </w:r>
      <w:r>
        <w:rPr>
          <w:rFonts w:hint="eastAsia"/>
          <w:color w:val="auto"/>
          <w:highlight w:val="none"/>
          <w:lang w:val="zh-TW" w:eastAsia="zh-CN"/>
        </w:rPr>
        <w:t>成交供应商</w:t>
      </w:r>
      <w:r>
        <w:rPr>
          <w:rFonts w:hint="eastAsia"/>
          <w:color w:val="auto"/>
          <w:highlight w:val="none"/>
          <w:lang w:val="zh-TW"/>
        </w:rPr>
        <w:t>还应承担相应的赔偿责任。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5</w:t>
      </w:r>
      <w:r>
        <w:rPr>
          <w:rFonts w:hint="eastAsia"/>
          <w:color w:val="auto"/>
          <w:highlight w:val="none"/>
          <w:lang w:val="zh-TW" w:eastAsia="zh-CN"/>
        </w:rPr>
        <w:t>）</w:t>
      </w:r>
      <w:r>
        <w:rPr>
          <w:rFonts w:hint="eastAsia"/>
          <w:color w:val="auto"/>
          <w:highlight w:val="none"/>
          <w:lang w:val="zh-TW"/>
        </w:rPr>
        <w:t>分包转包违约责任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eastAsia="zh-CN"/>
        </w:rPr>
        <w:t>成交供应商</w:t>
      </w:r>
      <w:r>
        <w:rPr>
          <w:rFonts w:hint="eastAsia"/>
          <w:color w:val="auto"/>
          <w:highlight w:val="none"/>
          <w:lang w:val="zh-TW"/>
        </w:rPr>
        <w:t>不得将本项目进行分包或转包，如发现经查实，采购人有权单方解除合同，若</w:t>
      </w:r>
      <w:r>
        <w:rPr>
          <w:rFonts w:hint="eastAsia"/>
          <w:color w:val="auto"/>
          <w:highlight w:val="none"/>
          <w:lang w:val="zh-TW" w:eastAsia="zh-CN"/>
        </w:rPr>
        <w:t>成交供应商</w:t>
      </w:r>
      <w:r>
        <w:rPr>
          <w:rFonts w:hint="eastAsia"/>
          <w:color w:val="auto"/>
          <w:highlight w:val="none"/>
          <w:lang w:val="zh-TW"/>
        </w:rPr>
        <w:t>给采购人造成损失的，还应承担损失赔偿责任。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6</w:t>
      </w:r>
      <w:r>
        <w:rPr>
          <w:rFonts w:hint="eastAsia"/>
          <w:color w:val="auto"/>
          <w:highlight w:val="none"/>
          <w:lang w:val="zh-TW" w:eastAsia="zh-CN"/>
        </w:rPr>
        <w:t>）</w:t>
      </w:r>
      <w:r>
        <w:rPr>
          <w:rFonts w:hint="eastAsia"/>
          <w:color w:val="auto"/>
          <w:highlight w:val="none"/>
          <w:lang w:val="zh-TW"/>
        </w:rPr>
        <w:t>政策调整导致合同解除的情况</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rPr>
        <w:t>在合同履行期间，若遇政府部门或上级单位出台有关该项目的政策调整，继续履行合同违反相关政策文件要求的，采购人须提前10日通知</w:t>
      </w:r>
      <w:r>
        <w:rPr>
          <w:rFonts w:hint="eastAsia"/>
          <w:color w:val="auto"/>
          <w:highlight w:val="none"/>
          <w:lang w:val="zh-TW" w:eastAsia="zh-CN"/>
        </w:rPr>
        <w:t>成交供应商</w:t>
      </w:r>
      <w:r>
        <w:rPr>
          <w:rFonts w:hint="eastAsia"/>
          <w:color w:val="auto"/>
          <w:highlight w:val="none"/>
          <w:lang w:val="zh-TW"/>
        </w:rPr>
        <w:t>终止合同，因此造成的合同解除采购人不承担违约责任。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lang w:val="zh-TW"/>
        </w:rPr>
      </w:pPr>
      <w:r>
        <w:rPr>
          <w:rFonts w:hint="eastAsia"/>
          <w:color w:val="auto"/>
          <w:highlight w:val="none"/>
          <w:lang w:val="zh-TW"/>
        </w:rPr>
        <w:t>（</w:t>
      </w:r>
      <w:r>
        <w:rPr>
          <w:rFonts w:hint="eastAsia"/>
          <w:color w:val="auto"/>
          <w:highlight w:val="none"/>
          <w:lang w:val="en-US" w:eastAsia="zh-CN"/>
        </w:rPr>
        <w:t>7</w:t>
      </w:r>
      <w:r>
        <w:rPr>
          <w:rFonts w:hint="eastAsia"/>
          <w:color w:val="auto"/>
          <w:highlight w:val="none"/>
          <w:lang w:val="zh-TW"/>
        </w:rPr>
        <w:t>）成交供应商应支付的违约金采购人可以直接从应付给成交供应商的费用中直接扣除。违约金不足以弥补给采购人造成的损失的，成交供应商还应承担相应的赔偿责任。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highlight w:val="none"/>
          <w:lang w:val="zh-TW"/>
        </w:rPr>
      </w:pPr>
      <w:r>
        <w:rPr>
          <w:rFonts w:hint="eastAsia"/>
          <w:color w:val="auto"/>
          <w:highlight w:val="none"/>
          <w:lang w:val="zh-TW"/>
        </w:rPr>
        <w:t>（</w:t>
      </w:r>
      <w:r>
        <w:rPr>
          <w:rFonts w:hint="eastAsia"/>
          <w:color w:val="auto"/>
          <w:highlight w:val="none"/>
          <w:lang w:val="en-US" w:eastAsia="zh-CN"/>
        </w:rPr>
        <w:t>8</w:t>
      </w:r>
      <w:r>
        <w:rPr>
          <w:rFonts w:hint="eastAsia"/>
          <w:color w:val="auto"/>
          <w:highlight w:val="none"/>
          <w:lang w:val="zh-TW"/>
        </w:rPr>
        <w:t>）</w:t>
      </w:r>
      <w:r>
        <w:rPr>
          <w:rFonts w:hint="eastAsia" w:cs="仿宋" w:asciiTheme="minorEastAsia" w:hAnsiTheme="minorEastAsia" w:eastAsiaTheme="minorEastAsia"/>
          <w:sz w:val="24"/>
          <w:highlight w:val="none"/>
        </w:rPr>
        <w:t>成交供应商进入本项目服务地点的工作人员必须遵守采购人的工作制度和安全规定，服从采购人的指挥。不得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予退还履约保证金。</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lang w:val="zh-TW"/>
        </w:rPr>
      </w:pPr>
      <w:r>
        <w:rPr>
          <w:rFonts w:hint="eastAsia"/>
          <w:color w:val="auto"/>
          <w:highlight w:val="none"/>
          <w:lang w:val="zh-TW" w:eastAsia="zh-CN"/>
        </w:rPr>
        <w:t>（</w:t>
      </w:r>
      <w:r>
        <w:rPr>
          <w:rFonts w:hint="eastAsia"/>
          <w:color w:val="auto"/>
          <w:highlight w:val="none"/>
          <w:lang w:val="en-US" w:eastAsia="zh-CN"/>
        </w:rPr>
        <w:t>9</w:t>
      </w:r>
      <w:r>
        <w:rPr>
          <w:rFonts w:hint="eastAsia"/>
          <w:color w:val="auto"/>
          <w:highlight w:val="none"/>
          <w:lang w:val="zh-TW" w:eastAsia="zh-CN"/>
        </w:rPr>
        <w:t>）</w:t>
      </w:r>
      <w:r>
        <w:rPr>
          <w:rFonts w:hint="eastAsia"/>
          <w:color w:val="auto"/>
          <w:highlight w:val="none"/>
          <w:lang w:val="zh-TW"/>
        </w:rPr>
        <w:t>履约保证金条款是一项独立的条款，不影响采购人向成交供应商主张本竞价文件中的其他违约金以及实际损失。</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（10）除上述具体违约情形外，成交供应商出现不符合网上竞价文件、响应文件、合同要求的其他情形，每发现一次，需向采购人支付违约金2000元。</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lang w:eastAsia="zh-CN"/>
        </w:rPr>
        <w:t>）</w:t>
      </w:r>
      <w:r>
        <w:rPr>
          <w:rFonts w:hint="eastAsia" w:ascii="宋体" w:hAnsi="宋体" w:eastAsia="宋体" w:cs="宋体"/>
          <w:color w:val="000000"/>
          <w:sz w:val="24"/>
          <w:highlight w:val="none"/>
          <w:shd w:val="clear" w:color="auto" w:fill="FFFFFF"/>
          <w:lang w:val="en-US" w:eastAsia="zh-CN"/>
        </w:rPr>
        <w:t>因成交供应商原因发生质量事故、安全事故的，由成交供应商承担事故全部赔偿责任。同时，采购人有权终止合同，给采购人造成损失的，还应承担赔偿责任。</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b w:val="0"/>
          <w:bCs w:val="0"/>
          <w:color w:val="auto"/>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违约金采购人有权直接从应支付</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的费用中扣除。</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color w:val="auto"/>
          <w:highlight w:val="none"/>
        </w:rPr>
      </w:pPr>
      <w:r>
        <w:rPr>
          <w:rFonts w:hint="eastAsia"/>
          <w:b/>
          <w:bCs/>
          <w:color w:val="auto"/>
          <w:highlight w:val="none"/>
        </w:rPr>
        <w:t>1</w:t>
      </w:r>
      <w:r>
        <w:rPr>
          <w:rFonts w:hint="eastAsia"/>
          <w:b/>
          <w:bCs/>
          <w:color w:val="auto"/>
          <w:highlight w:val="none"/>
          <w:lang w:val="en-US" w:eastAsia="zh-CN"/>
        </w:rPr>
        <w:t>0</w:t>
      </w:r>
      <w:r>
        <w:rPr>
          <w:rStyle w:val="23"/>
          <w:rFonts w:hint="eastAsia"/>
          <w:color w:val="auto"/>
          <w:highlight w:val="none"/>
        </w:rPr>
        <w:t>.诉讼相关费用承担：</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1</w:t>
      </w:r>
      <w:r>
        <w:rPr>
          <w:rFonts w:hint="eastAsia"/>
          <w:b/>
          <w:bCs/>
          <w:color w:val="auto"/>
          <w:highlight w:val="none"/>
        </w:rPr>
        <w:t>.</w:t>
      </w:r>
      <w:r>
        <w:rPr>
          <w:rFonts w:hint="eastAsia"/>
          <w:b/>
          <w:bCs/>
          <w:color w:val="auto"/>
          <w:highlight w:val="none"/>
          <w:lang w:val="zh-TW"/>
        </w:rPr>
        <w:t>不可抗力</w:t>
      </w:r>
      <w:r>
        <w:rPr>
          <w:rFonts w:hint="eastAsia"/>
          <w:b/>
          <w:bCs/>
          <w:color w:val="auto"/>
          <w:highlight w:val="none"/>
        </w:rPr>
        <w:t>：</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rStyle w:val="23"/>
          <w:color w:val="auto"/>
          <w:highlight w:val="none"/>
        </w:rPr>
      </w:pPr>
      <w:r>
        <w:rPr>
          <w:rStyle w:val="23"/>
          <w:rFonts w:hint="eastAsia"/>
          <w:color w:val="auto"/>
          <w:highlight w:val="none"/>
        </w:rPr>
        <w:t>1</w:t>
      </w:r>
      <w:r>
        <w:rPr>
          <w:rStyle w:val="23"/>
          <w:rFonts w:hint="eastAsia"/>
          <w:color w:val="auto"/>
          <w:highlight w:val="none"/>
          <w:lang w:val="en-US" w:eastAsia="zh-CN"/>
        </w:rPr>
        <w:t>2</w:t>
      </w:r>
      <w:r>
        <w:rPr>
          <w:rStyle w:val="23"/>
          <w:rFonts w:hint="eastAsia"/>
          <w:color w:val="auto"/>
          <w:highlight w:val="none"/>
        </w:rPr>
        <w:t>.专利权及知识产权：</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color w:val="auto"/>
          <w:highlight w:val="none"/>
        </w:rPr>
      </w:pPr>
      <w:r>
        <w:rPr>
          <w:rStyle w:val="23"/>
          <w:rFonts w:hint="eastAsia"/>
          <w:color w:val="auto"/>
          <w:highlight w:val="none"/>
        </w:rPr>
        <w:t>1</w:t>
      </w:r>
      <w:r>
        <w:rPr>
          <w:rStyle w:val="23"/>
          <w:rFonts w:hint="eastAsia"/>
          <w:color w:val="auto"/>
          <w:highlight w:val="none"/>
          <w:lang w:val="en-US" w:eastAsia="zh-CN"/>
        </w:rPr>
        <w:t>3</w:t>
      </w:r>
      <w:r>
        <w:rPr>
          <w:rStyle w:val="23"/>
          <w:rFonts w:hint="eastAsia"/>
          <w:color w:val="auto"/>
          <w:highlight w:val="none"/>
        </w:rPr>
        <w:t>.保密条款：</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w:t>
      </w:r>
      <w:r>
        <w:rPr>
          <w:rFonts w:hint="eastAsia"/>
          <w:color w:val="auto"/>
          <w:highlight w:val="none"/>
          <w:lang w:eastAsia="zh-CN"/>
        </w:rPr>
        <w:t>工作人员</w:t>
      </w:r>
      <w:r>
        <w:rPr>
          <w:rFonts w:hint="eastAsia"/>
          <w:color w:val="auto"/>
          <w:highlight w:val="none"/>
        </w:rPr>
        <w:t>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lang w:val="zh-TW"/>
        </w:rPr>
      </w:pPr>
      <w:r>
        <w:rPr>
          <w:rFonts w:hint="eastAsia"/>
          <w:color w:val="auto"/>
          <w:highlight w:val="none"/>
        </w:rPr>
        <w:t>（3）本条款不因合同届满或解除而失效。</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4</w:t>
      </w:r>
      <w:r>
        <w:rPr>
          <w:rFonts w:hint="eastAsia"/>
          <w:b/>
          <w:bCs/>
          <w:color w:val="auto"/>
          <w:highlight w:val="none"/>
        </w:rPr>
        <w:t>.</w:t>
      </w:r>
      <w:r>
        <w:rPr>
          <w:rFonts w:hint="eastAsia"/>
          <w:b/>
          <w:bCs/>
          <w:color w:val="auto"/>
          <w:highlight w:val="none"/>
          <w:lang w:val="zh-TW"/>
        </w:rPr>
        <w:t>廉政条款</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5</w:t>
      </w:r>
      <w:r>
        <w:rPr>
          <w:rFonts w:hint="eastAsia"/>
          <w:b/>
          <w:bCs/>
          <w:color w:val="auto"/>
          <w:highlight w:val="none"/>
        </w:rPr>
        <w:t>.</w:t>
      </w:r>
      <w:r>
        <w:rPr>
          <w:rFonts w:hint="eastAsia"/>
          <w:b/>
          <w:bCs/>
          <w:color w:val="auto"/>
          <w:highlight w:val="none"/>
          <w:lang w:val="zh-TW"/>
        </w:rPr>
        <w:t>合同纠纷处理方式</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（1）采购人及成交供应商双方必须认真履行合同条款。因本合同或与本合同有关的一切事项发生争议，由双方友好协商解决，协商不成的，任何一方均可向采购人所在地人民法院提起诉讼。</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（2）合同补充和修改：本合同生效后，双方对合同内容的变更或补充应采取书面形式，并经双方签字并盖章确认。</w:t>
      </w:r>
    </w:p>
    <w:p>
      <w:pPr>
        <w:rPr>
          <w:rFonts w:ascii="宋体" w:hAnsi="宋体"/>
          <w:b/>
          <w:bCs/>
          <w:color w:val="auto"/>
          <w:sz w:val="36"/>
          <w:szCs w:val="36"/>
          <w:highlight w:val="none"/>
        </w:rPr>
      </w:pPr>
    </w:p>
    <w:p>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41"/>
        <w:gridCol w:w="1860"/>
        <w:gridCol w:w="1301"/>
        <w:gridCol w:w="1113"/>
        <w:gridCol w:w="1487"/>
        <w:gridCol w:w="1487"/>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98"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399"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序号</w:t>
            </w:r>
          </w:p>
        </w:tc>
        <w:tc>
          <w:tcPr>
            <w:tcW w:w="1001"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货物名称</w:t>
            </w:r>
          </w:p>
        </w:tc>
        <w:tc>
          <w:tcPr>
            <w:tcW w:w="700"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599"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800" w:type="pct"/>
            <w:vAlign w:val="center"/>
          </w:tcPr>
          <w:p>
            <w:pPr>
              <w:pStyle w:val="16"/>
              <w:wordWrap w:val="0"/>
              <w:spacing w:beforeAutospacing="0" w:afterAutospacing="0" w:line="360" w:lineRule="auto"/>
              <w:jc w:val="center"/>
              <w:rPr>
                <w:rFonts w:hint="eastAsia" w:eastAsia="宋体"/>
                <w:color w:val="auto"/>
                <w:highlight w:val="none"/>
                <w:lang w:eastAsia="zh-CN"/>
              </w:rPr>
            </w:pPr>
            <w:r>
              <w:rPr>
                <w:rFonts w:hint="eastAsia"/>
                <w:color w:val="auto"/>
                <w:highlight w:val="none"/>
                <w:lang w:eastAsia="zh-CN"/>
              </w:rPr>
              <w:t>折扣</w:t>
            </w:r>
          </w:p>
        </w:tc>
        <w:tc>
          <w:tcPr>
            <w:tcW w:w="800"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298"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1</w:t>
            </w:r>
          </w:p>
        </w:tc>
        <w:tc>
          <w:tcPr>
            <w:tcW w:w="399" w:type="pct"/>
            <w:vAlign w:val="center"/>
          </w:tcPr>
          <w:p>
            <w:pPr>
              <w:widowControl/>
              <w:spacing w:line="360" w:lineRule="auto"/>
              <w:jc w:val="center"/>
              <w:textAlignment w:val="center"/>
              <w:rPr>
                <w:rFonts w:cs="宋体"/>
                <w:color w:val="auto"/>
                <w:highlight w:val="none"/>
              </w:rPr>
            </w:pPr>
          </w:p>
        </w:tc>
        <w:tc>
          <w:tcPr>
            <w:tcW w:w="1001" w:type="pct"/>
            <w:vAlign w:val="center"/>
          </w:tcPr>
          <w:p>
            <w:pPr>
              <w:widowControl/>
              <w:spacing w:line="360" w:lineRule="auto"/>
              <w:jc w:val="center"/>
              <w:textAlignment w:val="center"/>
              <w:rPr>
                <w:rFonts w:cs="宋体"/>
                <w:color w:val="auto"/>
                <w:highlight w:val="none"/>
              </w:rPr>
            </w:pPr>
          </w:p>
        </w:tc>
        <w:tc>
          <w:tcPr>
            <w:tcW w:w="700" w:type="pct"/>
            <w:vAlign w:val="center"/>
          </w:tcPr>
          <w:p>
            <w:pPr>
              <w:widowControl/>
              <w:spacing w:line="360" w:lineRule="auto"/>
              <w:jc w:val="center"/>
              <w:textAlignment w:val="center"/>
              <w:rPr>
                <w:rFonts w:ascii="宋体" w:hAnsi="宋体" w:cs="宋体"/>
                <w:color w:val="auto"/>
                <w:kern w:val="0"/>
                <w:sz w:val="24"/>
                <w:highlight w:val="none"/>
                <w:lang w:bidi="ar"/>
              </w:rPr>
            </w:pPr>
          </w:p>
        </w:tc>
        <w:tc>
          <w:tcPr>
            <w:tcW w:w="599" w:type="pct"/>
            <w:vAlign w:val="center"/>
          </w:tcPr>
          <w:p>
            <w:pPr>
              <w:pStyle w:val="16"/>
              <w:wordWrap w:val="0"/>
              <w:spacing w:beforeAutospacing="0" w:afterAutospacing="0" w:line="360" w:lineRule="auto"/>
              <w:jc w:val="center"/>
              <w:rPr>
                <w:color w:val="auto"/>
                <w:highlight w:val="none"/>
              </w:rPr>
            </w:pPr>
          </w:p>
        </w:tc>
        <w:tc>
          <w:tcPr>
            <w:tcW w:w="800" w:type="pct"/>
            <w:vAlign w:val="center"/>
          </w:tcPr>
          <w:p>
            <w:pPr>
              <w:pStyle w:val="16"/>
              <w:wordWrap w:val="0"/>
              <w:spacing w:beforeAutospacing="0" w:afterAutospacing="0" w:line="360" w:lineRule="auto"/>
              <w:jc w:val="center"/>
              <w:rPr>
                <w:color w:val="auto"/>
                <w:highlight w:val="none"/>
              </w:rPr>
            </w:pPr>
          </w:p>
        </w:tc>
        <w:tc>
          <w:tcPr>
            <w:tcW w:w="800" w:type="pct"/>
            <w:vAlign w:val="center"/>
          </w:tcPr>
          <w:p>
            <w:pPr>
              <w:pStyle w:val="16"/>
              <w:wordWrap w:val="0"/>
              <w:spacing w:beforeAutospacing="0" w:afterAutospacing="0" w:line="360" w:lineRule="auto"/>
              <w:jc w:val="center"/>
              <w:rPr>
                <w:color w:val="auto"/>
                <w:highlight w:val="none"/>
              </w:rPr>
            </w:pPr>
          </w:p>
        </w:tc>
        <w:tc>
          <w:tcPr>
            <w:tcW w:w="298" w:type="pct"/>
            <w:vAlign w:val="center"/>
          </w:tcPr>
          <w:p>
            <w:pPr>
              <w:pStyle w:val="16"/>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pPr>
        <w:spacing w:line="360" w:lineRule="auto"/>
        <w:ind w:firstLine="482" w:firstLineChars="200"/>
        <w:outlineLvl w:val="1"/>
        <w:rPr>
          <w:rFonts w:ascii="宋体" w:hAnsi="宋体" w:cs="宋体"/>
          <w:b/>
          <w:color w:val="auto"/>
          <w:sz w:val="24"/>
          <w:highlight w:val="none"/>
        </w:rPr>
      </w:pPr>
      <w:bookmarkStart w:id="9" w:name="_Toc15649"/>
      <w:r>
        <w:rPr>
          <w:rFonts w:hint="eastAsia" w:ascii="宋体" w:hAnsi="宋体" w:cs="宋体"/>
          <w:b/>
          <w:color w:val="auto"/>
          <w:sz w:val="24"/>
          <w:highlight w:val="none"/>
        </w:rPr>
        <w:t>4、项目联系人：</w:t>
      </w:r>
      <w:bookmarkEnd w:id="9"/>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rPr>
          <w:rFonts w:ascii="宋体" w:hAnsi="宋体" w:cs="宋体"/>
          <w:b/>
          <w:bCs/>
          <w:color w:val="auto"/>
          <w:sz w:val="24"/>
          <w:highlight w:val="none"/>
        </w:rPr>
      </w:pPr>
      <w:bookmarkStart w:id="12" w:name="_Toc22019"/>
      <w:r>
        <w:rPr>
          <w:rFonts w:hint="eastAsia" w:ascii="宋体" w:hAnsi="宋体" w:cs="宋体"/>
          <w:b/>
          <w:bCs/>
          <w:color w:val="auto"/>
          <w:sz w:val="24"/>
          <w:highlight w:val="none"/>
        </w:rPr>
        <w:t>9.包装及运输</w:t>
      </w:r>
      <w:bookmarkEnd w:id="12"/>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13" w:name="_Toc29742"/>
      <w:r>
        <w:rPr>
          <w:rFonts w:hint="eastAsia" w:ascii="宋体" w:hAnsi="宋体" w:cs="宋体"/>
          <w:b/>
          <w:bCs/>
          <w:color w:val="auto"/>
          <w:sz w:val="24"/>
          <w:highlight w:val="none"/>
        </w:rPr>
        <w:t>10、售后服务</w:t>
      </w:r>
      <w:bookmarkEnd w:id="13"/>
      <w:bookmarkStart w:id="14" w:name="_Toc26908"/>
      <w:r>
        <w:rPr>
          <w:rFonts w:hint="eastAsia" w:ascii="宋体" w:hAnsi="宋体" w:cs="宋体"/>
          <w:b/>
          <w:bCs/>
          <w:color w:val="auto"/>
          <w:sz w:val="24"/>
          <w:highlight w:val="none"/>
        </w:rPr>
        <w:t>：</w:t>
      </w:r>
    </w:p>
    <w:p>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14"/>
      <w:bookmarkStart w:id="15" w:name="_Toc24883"/>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15"/>
    </w:p>
    <w:p>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color w:val="auto"/>
          <w:sz w:val="24"/>
          <w:highlight w:val="none"/>
        </w:rPr>
      </w:pPr>
      <w:bookmarkStart w:id="16" w:name="_Toc25786"/>
      <w:r>
        <w:rPr>
          <w:rFonts w:hint="eastAsia" w:ascii="宋体" w:hAnsi="宋体" w:cs="宋体"/>
          <w:b/>
          <w:bCs/>
          <w:color w:val="auto"/>
          <w:sz w:val="24"/>
          <w:highlight w:val="none"/>
        </w:rPr>
        <w:t>13、知识产权</w:t>
      </w:r>
      <w:bookmarkEnd w:id="16"/>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7" w:name="_Toc1392"/>
      <w:r>
        <w:rPr>
          <w:rFonts w:hint="eastAsia" w:ascii="宋体" w:hAnsi="宋体" w:cs="宋体"/>
          <w:b/>
          <w:bCs/>
          <w:color w:val="auto"/>
          <w:sz w:val="24"/>
          <w:highlight w:val="none"/>
        </w:rPr>
        <w:t>15、合同解除条件</w:t>
      </w:r>
      <w:bookmarkEnd w:id="17"/>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8" w:name="_Toc5467"/>
      <w:r>
        <w:rPr>
          <w:rFonts w:hint="eastAsia" w:ascii="宋体" w:hAnsi="宋体" w:cs="宋体"/>
          <w:b/>
          <w:bCs/>
          <w:color w:val="auto"/>
          <w:sz w:val="24"/>
          <w:highlight w:val="none"/>
        </w:rPr>
        <w:t>16、不可抗力</w:t>
      </w:r>
      <w:bookmarkEnd w:id="18"/>
    </w:p>
    <w:p>
      <w:pPr>
        <w:pStyle w:val="16"/>
        <w:spacing w:before="0" w:beforeAutospacing="0" w:after="0" w:afterAutospacing="0" w:line="360" w:lineRule="auto"/>
        <w:ind w:firstLine="480" w:firstLineChars="200"/>
        <w:rPr>
          <w:color w:val="auto"/>
          <w:highlight w:val="none"/>
          <w:lang w:val="zh-TW"/>
        </w:rPr>
      </w:pPr>
      <w:bookmarkStart w:id="19"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19"/>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color w:val="auto"/>
          <w:sz w:val="24"/>
          <w:highlight w:val="none"/>
        </w:rPr>
      </w:pPr>
      <w:bookmarkStart w:id="20" w:name="_Toc16899"/>
      <w:r>
        <w:rPr>
          <w:rFonts w:hint="eastAsia" w:ascii="宋体" w:hAnsi="宋体" w:cs="宋体"/>
          <w:b/>
          <w:bCs/>
          <w:color w:val="auto"/>
          <w:sz w:val="24"/>
          <w:highlight w:val="none"/>
        </w:rPr>
        <w:t>18、其他要求</w:t>
      </w:r>
      <w:bookmarkEnd w:id="20"/>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color w:val="auto"/>
          <w:sz w:val="24"/>
          <w:highlight w:val="none"/>
        </w:rPr>
      </w:pPr>
      <w:bookmarkStart w:id="21" w:name="_Toc8403"/>
      <w:r>
        <w:rPr>
          <w:rFonts w:hint="eastAsia" w:ascii="宋体" w:hAnsi="宋体" w:cs="宋体"/>
          <w:b/>
          <w:bCs/>
          <w:color w:val="auto"/>
          <w:sz w:val="24"/>
          <w:highlight w:val="none"/>
        </w:rPr>
        <w:t>19、保密要求</w:t>
      </w:r>
      <w:bookmarkEnd w:id="21"/>
    </w:p>
    <w:p>
      <w:pPr>
        <w:pStyle w:val="16"/>
        <w:spacing w:before="0" w:beforeAutospacing="0" w:after="0" w:afterAutospacing="0" w:line="360" w:lineRule="auto"/>
        <w:ind w:firstLine="480" w:firstLineChars="200"/>
        <w:rPr>
          <w:color w:val="auto"/>
          <w:highlight w:val="none"/>
        </w:rPr>
      </w:pPr>
      <w:bookmarkStart w:id="22"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2"/>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2"/>
        <w:spacing w:line="360" w:lineRule="auto"/>
        <w:ind w:left="0" w:leftChars="0" w:firstLine="480" w:firstLineChars="200"/>
        <w:rPr>
          <w:color w:val="auto"/>
          <w:sz w:val="24"/>
          <w:highlight w:val="none"/>
        </w:rPr>
      </w:pPr>
      <w:bookmarkStart w:id="23" w:name="_Toc30271"/>
      <w:r>
        <w:rPr>
          <w:rFonts w:hint="eastAsia" w:ascii="宋体" w:hAnsi="宋体" w:cs="宋体"/>
          <w:color w:val="auto"/>
          <w:sz w:val="24"/>
          <w:highlight w:val="none"/>
        </w:rPr>
        <w:t>账    号：                            账    号：</w:t>
      </w:r>
      <w:bookmarkEnd w:id="23"/>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rPr>
          <w:rFonts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9"/>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6"/>
        <w:spacing w:line="360" w:lineRule="auto"/>
        <w:rPr>
          <w:color w:val="auto"/>
          <w:highlight w:val="none"/>
        </w:rPr>
      </w:pPr>
    </w:p>
    <w:p>
      <w:pPr>
        <w:spacing w:line="360" w:lineRule="auto"/>
        <w:rPr>
          <w:color w:val="auto"/>
          <w:highlight w:val="none"/>
        </w:rPr>
      </w:pPr>
    </w:p>
    <w:p>
      <w:pPr>
        <w:pStyle w:val="6"/>
        <w:spacing w:line="360" w:lineRule="auto"/>
        <w:rPr>
          <w:color w:val="auto"/>
          <w:highlight w:val="none"/>
        </w:rPr>
      </w:pPr>
    </w:p>
    <w:p>
      <w:pPr>
        <w:spacing w:line="360" w:lineRule="auto"/>
        <w:rPr>
          <w:color w:val="auto"/>
          <w:highlight w:val="none"/>
        </w:rPr>
      </w:pPr>
    </w:p>
    <w:p>
      <w:pPr>
        <w:pStyle w:val="7"/>
        <w:spacing w:line="360" w:lineRule="auto"/>
        <w:rPr>
          <w:color w:val="auto"/>
          <w:highlight w:val="none"/>
        </w:rPr>
      </w:pPr>
    </w:p>
    <w:p>
      <w:pPr>
        <w:spacing w:line="360" w:lineRule="auto"/>
        <w:rPr>
          <w:color w:val="auto"/>
          <w:highlight w:val="none"/>
        </w:rPr>
      </w:pPr>
    </w:p>
    <w:p>
      <w:pPr>
        <w:pStyle w:val="7"/>
        <w:spacing w:line="360" w:lineRule="auto"/>
        <w:rPr>
          <w:color w:val="auto"/>
          <w:highlight w:val="none"/>
        </w:rPr>
      </w:pPr>
    </w:p>
    <w:p>
      <w:pPr>
        <w:spacing w:line="360" w:lineRule="auto"/>
        <w:rPr>
          <w:color w:val="auto"/>
          <w:highlight w:val="none"/>
        </w:rPr>
      </w:pPr>
    </w:p>
    <w:p>
      <w:pPr>
        <w:pStyle w:val="7"/>
        <w:spacing w:line="360" w:lineRule="auto"/>
        <w:rPr>
          <w:color w:val="auto"/>
          <w:highlight w:val="none"/>
        </w:rPr>
      </w:pPr>
    </w:p>
    <w:p>
      <w:pPr>
        <w:spacing w:line="360" w:lineRule="auto"/>
        <w:rPr>
          <w:color w:val="auto"/>
          <w:highlight w:val="none"/>
        </w:rPr>
      </w:pPr>
    </w:p>
    <w:p>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6"/>
        <w:spacing w:line="360" w:lineRule="auto"/>
        <w:rPr>
          <w:color w:val="auto"/>
          <w:highlight w:val="none"/>
        </w:rPr>
      </w:pPr>
    </w:p>
    <w:p>
      <w:pPr>
        <w:rPr>
          <w:rFonts w:hAnsi="宋体" w:cs="宋体"/>
          <w:b/>
          <w:color w:val="auto"/>
          <w:sz w:val="36"/>
          <w:highlight w:val="none"/>
        </w:rPr>
      </w:pPr>
      <w:r>
        <w:rPr>
          <w:rFonts w:hint="eastAsia" w:hAnsi="宋体" w:cs="宋体"/>
          <w:b/>
          <w:color w:val="auto"/>
          <w:sz w:val="36"/>
          <w:highlight w:val="none"/>
        </w:rPr>
        <w:br w:type="page"/>
      </w:r>
    </w:p>
    <w:p>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9"/>
        <w:spacing w:after="120" w:line="360" w:lineRule="auto"/>
        <w:outlineLvl w:val="9"/>
        <w:rPr>
          <w:rFonts w:hAnsi="宋体" w:cs="宋体"/>
          <w:b/>
          <w:color w:val="auto"/>
          <w:sz w:val="36"/>
          <w:highlight w:val="none"/>
        </w:rPr>
      </w:pPr>
    </w:p>
    <w:p>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9"/>
        <w:spacing w:line="360" w:lineRule="auto"/>
        <w:outlineLvl w:val="9"/>
        <w:rPr>
          <w:rFonts w:hAnsi="宋体" w:cs="宋体"/>
          <w:bCs/>
          <w:color w:val="auto"/>
          <w:sz w:val="24"/>
          <w:highlight w:val="none"/>
        </w:rPr>
      </w:pPr>
    </w:p>
    <w:p>
      <w:pPr>
        <w:widowControl/>
        <w:spacing w:line="360" w:lineRule="auto"/>
        <w:jc w:val="center"/>
        <w:rPr>
          <w:rFonts w:ascii="宋体" w:hAnsi="宋体" w:cs="宋体"/>
          <w:b/>
          <w:color w:val="auto"/>
          <w:kern w:val="0"/>
          <w:sz w:val="72"/>
          <w:szCs w:val="72"/>
          <w:highlight w:val="none"/>
          <w:shd w:val="clear" w:color="auto" w:fill="FFFFFF"/>
        </w:rPr>
      </w:pPr>
    </w:p>
    <w:p>
      <w:pPr>
        <w:widowControl/>
        <w:spacing w:line="360" w:lineRule="auto"/>
        <w:jc w:val="center"/>
        <w:rPr>
          <w:rFonts w:ascii="宋体" w:hAnsi="宋体" w:cs="宋体"/>
          <w:b/>
          <w:color w:val="auto"/>
          <w:kern w:val="0"/>
          <w:sz w:val="72"/>
          <w:szCs w:val="72"/>
          <w:highlight w:val="none"/>
          <w:shd w:val="clear" w:color="auto" w:fill="FFFFFF"/>
        </w:rPr>
      </w:pPr>
    </w:p>
    <w:p>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134" w:right="1417" w:bottom="1134" w:left="1417" w:header="851" w:footer="646" w:gutter="0"/>
          <w:cols w:space="0" w:num="1"/>
          <w:rtlGutter w:val="0"/>
          <w:docGrid w:linePitch="312" w:charSpace="0"/>
        </w:sectPr>
      </w:pPr>
    </w:p>
    <w:p>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pacing w:line="360" w:lineRule="auto"/>
        <w:rPr>
          <w:rFonts w:ascii="宋体" w:hAnsi="宋体" w:cs="宋体"/>
          <w:b/>
          <w:color w:val="auto"/>
          <w:kern w:val="0"/>
          <w:sz w:val="28"/>
          <w:szCs w:val="28"/>
          <w:highlight w:val="none"/>
          <w:shd w:val="clear" w:color="auto" w:fill="FFFFFF"/>
        </w:rPr>
      </w:pP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color w:val="auto"/>
          <w:kern w:val="0"/>
          <w:sz w:val="24"/>
          <w:highlight w:val="none"/>
          <w:shd w:val="clear" w:color="auto" w:fill="FFFFFF"/>
        </w:rPr>
      </w:pP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9"/>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3"/>
                <w:rFonts w:hint="eastAsia"/>
                <w:color w:val="auto"/>
                <w:highlight w:val="none"/>
              </w:rPr>
              <w:t> </w:t>
            </w:r>
          </w:p>
          <w:p>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3"/>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7"/>
        <w:spacing w:line="360" w:lineRule="auto"/>
        <w:rPr>
          <w:rFonts w:ascii="Times New Roman" w:hAnsi="Times New Roman"/>
          <w:color w:val="auto"/>
          <w:highlight w:val="none"/>
        </w:rPr>
      </w:pPr>
    </w:p>
    <w:p>
      <w:pPr>
        <w:spacing w:line="360" w:lineRule="auto"/>
        <w:rPr>
          <w:rFonts w:ascii="Times New Roman" w:hAnsi="Times New Roman"/>
          <w:b/>
          <w:color w:val="auto"/>
          <w:sz w:val="32"/>
          <w:highlight w:val="none"/>
        </w:rPr>
      </w:pPr>
    </w:p>
    <w:p>
      <w:pPr>
        <w:pStyle w:val="7"/>
        <w:spacing w:line="360" w:lineRule="auto"/>
        <w:rPr>
          <w:rFonts w:ascii="Times New Roman" w:hAnsi="Times New Roman"/>
          <w:color w:val="auto"/>
          <w:highlight w:val="none"/>
        </w:rPr>
      </w:pPr>
    </w:p>
    <w:p>
      <w:pPr>
        <w:spacing w:line="360" w:lineRule="auto"/>
        <w:rPr>
          <w:rFonts w:ascii="Times New Roman" w:hAnsi="Times New Roman"/>
          <w:b/>
          <w:color w:val="auto"/>
          <w:sz w:val="32"/>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
        <w:spacing w:line="360" w:lineRule="auto"/>
        <w:ind w:left="0" w:leftChars="0"/>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4"/>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4"/>
        <w:spacing w:line="360" w:lineRule="auto"/>
        <w:rPr>
          <w:rFonts w:ascii="宋体" w:hAnsi="宋体" w:cs="宋体"/>
          <w:b/>
          <w:bCs/>
          <w:color w:val="auto"/>
          <w:sz w:val="28"/>
          <w:szCs w:val="28"/>
          <w:highlight w:val="none"/>
        </w:rPr>
      </w:pP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ind w:left="0" w:leftChars="0"/>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3"/>
        <w:spacing w:line="360" w:lineRule="auto"/>
        <w:ind w:left="0" w:leftChars="0"/>
        <w:rPr>
          <w:rFonts w:ascii="宋体" w:hAnsi="宋体" w:cs="宋体"/>
          <w:b/>
          <w:bCs/>
          <w:color w:val="auto"/>
          <w:sz w:val="28"/>
          <w:szCs w:val="28"/>
          <w:highlight w:val="none"/>
        </w:rPr>
      </w:pPr>
    </w:p>
    <w:p>
      <w:pPr>
        <w:pStyle w:val="4"/>
        <w:spacing w:line="360" w:lineRule="auto"/>
        <w:rPr>
          <w:rFonts w:ascii="宋体" w:hAnsi="宋体" w:cs="宋体"/>
          <w:b/>
          <w:bCs/>
          <w:color w:val="auto"/>
          <w:sz w:val="28"/>
          <w:szCs w:val="28"/>
          <w:highlight w:val="none"/>
        </w:rPr>
      </w:pPr>
    </w:p>
    <w:p>
      <w:pPr>
        <w:pStyle w:val="4"/>
        <w:spacing w:line="360" w:lineRule="auto"/>
        <w:rPr>
          <w:rFonts w:ascii="宋体" w:hAnsi="宋体" w:cs="宋体"/>
          <w:b/>
          <w:bCs/>
          <w:color w:val="auto"/>
          <w:sz w:val="28"/>
          <w:szCs w:val="28"/>
          <w:highlight w:val="none"/>
        </w:rPr>
      </w:pPr>
    </w:p>
    <w:p>
      <w:pPr>
        <w:pStyle w:val="3"/>
        <w:spacing w:line="360" w:lineRule="auto"/>
        <w:ind w:left="0" w:leftChars="0"/>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4"/>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spacing w:line="360" w:lineRule="auto"/>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spacing w:line="360" w:lineRule="auto"/>
        <w:rPr>
          <w:rFonts w:ascii="宋体" w:hAnsi="宋体" w:cs="宋体"/>
          <w:b/>
          <w:bCs/>
          <w:color w:val="auto"/>
          <w:sz w:val="28"/>
          <w:szCs w:val="28"/>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8"/>
        <w:spacing w:line="360" w:lineRule="auto"/>
        <w:rPr>
          <w:rFonts w:ascii="楷体_GB2312" w:eastAsia="楷体_GB2312"/>
          <w:b/>
          <w:color w:val="auto"/>
          <w:sz w:val="40"/>
          <w:szCs w:val="40"/>
          <w:highlight w:val="none"/>
        </w:rPr>
      </w:pPr>
    </w:p>
    <w:p>
      <w:pPr>
        <w:pStyle w:val="3"/>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color w:val="auto"/>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4"/>
        <w:spacing w:line="360" w:lineRule="auto"/>
        <w:rPr>
          <w:rFonts w:ascii="楷体_GB2312" w:eastAsia="楷体_GB2312"/>
          <w:b/>
          <w:color w:val="auto"/>
          <w:sz w:val="44"/>
          <w:szCs w:val="44"/>
          <w:highlight w:val="none"/>
        </w:rPr>
      </w:pPr>
    </w:p>
    <w:p>
      <w:pPr>
        <w:pStyle w:val="4"/>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6"/>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rPr>
          <w:color w:val="auto"/>
          <w:highlight w:val="none"/>
        </w:rPr>
      </w:pPr>
      <w:r>
        <w:rPr>
          <w:color w:val="auto"/>
          <w:highlight w:val="none"/>
        </w:rPr>
        <w:br w:type="page"/>
      </w:r>
    </w:p>
    <w:p>
      <w:pPr>
        <w:pStyle w:val="4"/>
        <w:spacing w:line="360" w:lineRule="auto"/>
        <w:rPr>
          <w:color w:val="auto"/>
          <w:highlight w:val="none"/>
        </w:rPr>
      </w:pPr>
    </w:p>
    <w:p>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pPr>
        <w:pStyle w:val="6"/>
        <w:spacing w:line="360" w:lineRule="auto"/>
        <w:rPr>
          <w:color w:val="auto"/>
          <w:sz w:val="24"/>
          <w:szCs w:val="24"/>
          <w:highlight w:val="none"/>
        </w:rPr>
      </w:pPr>
      <w:r>
        <w:rPr>
          <w:rFonts w:hint="eastAsia"/>
          <w:color w:val="auto"/>
          <w:sz w:val="24"/>
          <w:szCs w:val="24"/>
          <w:highlight w:val="none"/>
        </w:rPr>
        <w:t xml:space="preserve">项目编号：    </w:t>
      </w:r>
    </w:p>
    <w:p>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537"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1145" w:type="pct"/>
            <w:vAlign w:val="center"/>
          </w:tcPr>
          <w:p>
            <w:pPr>
              <w:pStyle w:val="11"/>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2"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7" w:type="pct"/>
            <w:vAlign w:val="center"/>
          </w:tcPr>
          <w:p>
            <w:pPr>
              <w:snapToGrid w:val="0"/>
              <w:spacing w:line="360" w:lineRule="auto"/>
              <w:jc w:val="center"/>
              <w:rPr>
                <w:rFonts w:ascii="宋体" w:hAnsi="宋体"/>
                <w:color w:val="auto"/>
                <w:sz w:val="24"/>
                <w:highlight w:val="none"/>
              </w:rPr>
            </w:pPr>
          </w:p>
        </w:tc>
        <w:tc>
          <w:tcPr>
            <w:tcW w:w="672" w:type="pct"/>
            <w:vAlign w:val="center"/>
          </w:tcPr>
          <w:p>
            <w:pPr>
              <w:snapToGrid w:val="0"/>
              <w:spacing w:line="360" w:lineRule="auto"/>
              <w:jc w:val="center"/>
              <w:rPr>
                <w:rFonts w:ascii="宋体" w:hAnsi="宋体" w:cs="宋体"/>
                <w:color w:val="auto"/>
                <w:kern w:val="0"/>
                <w:sz w:val="24"/>
                <w:highlight w:val="none"/>
              </w:rPr>
            </w:pPr>
          </w:p>
        </w:tc>
        <w:tc>
          <w:tcPr>
            <w:tcW w:w="1145" w:type="pct"/>
            <w:vAlign w:val="center"/>
          </w:tcPr>
          <w:p>
            <w:pPr>
              <w:widowControl/>
              <w:spacing w:line="360" w:lineRule="auto"/>
              <w:jc w:val="left"/>
              <w:rPr>
                <w:rFonts w:ascii="宋体" w:hAnsi="宋体"/>
                <w:color w:val="auto"/>
                <w:sz w:val="24"/>
                <w:highlight w:val="none"/>
              </w:rPr>
            </w:pPr>
          </w:p>
        </w:tc>
        <w:tc>
          <w:tcPr>
            <w:tcW w:w="1145"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7"/>
        <w:spacing w:line="360" w:lineRule="auto"/>
        <w:rPr>
          <w:color w:val="auto"/>
          <w:highlight w:val="none"/>
        </w:rPr>
      </w:pPr>
    </w:p>
    <w:p>
      <w:pPr>
        <w:spacing w:line="360" w:lineRule="auto"/>
        <w:rPr>
          <w:color w:val="auto"/>
          <w:highlight w:val="none"/>
        </w:rPr>
      </w:pPr>
    </w:p>
    <w:p>
      <w:pPr>
        <w:pStyle w:val="7"/>
        <w:spacing w:line="360" w:lineRule="auto"/>
        <w:rPr>
          <w:color w:val="auto"/>
          <w:highlight w:val="none"/>
        </w:rPr>
      </w:pPr>
    </w:p>
    <w:p>
      <w:pPr>
        <w:spacing w:line="360" w:lineRule="auto"/>
        <w:rPr>
          <w:color w:val="auto"/>
          <w:highlight w:val="none"/>
        </w:rPr>
      </w:pPr>
    </w:p>
    <w:p>
      <w:pPr>
        <w:numPr>
          <w:ilvl w:val="0"/>
          <w:numId w:val="4"/>
        </w:numPr>
        <w:spacing w:line="360" w:lineRule="auto"/>
        <w:jc w:val="center"/>
        <w:rPr>
          <w:color w:val="auto"/>
          <w:highlight w:val="none"/>
        </w:rPr>
      </w:pPr>
      <w:r>
        <w:rPr>
          <w:color w:val="auto"/>
          <w:highlight w:val="none"/>
        </w:rPr>
        <w:br w:type="page"/>
      </w:r>
    </w:p>
    <w:p>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pPr>
        <w:pStyle w:val="6"/>
        <w:spacing w:line="360" w:lineRule="auto"/>
        <w:rPr>
          <w:color w:val="auto"/>
          <w:sz w:val="24"/>
          <w:szCs w:val="24"/>
          <w:highlight w:val="none"/>
        </w:rPr>
      </w:pPr>
      <w:r>
        <w:rPr>
          <w:rFonts w:hint="eastAsia"/>
          <w:color w:val="auto"/>
          <w:sz w:val="24"/>
          <w:szCs w:val="24"/>
          <w:highlight w:val="none"/>
        </w:rPr>
        <w:t xml:space="preserve">项目编号：    </w:t>
      </w:r>
    </w:p>
    <w:p>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659"/>
        <w:gridCol w:w="1634"/>
        <w:gridCol w:w="1067"/>
        <w:gridCol w:w="1336"/>
        <w:gridCol w:w="2287"/>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536"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9"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c>
          <w:tcPr>
            <w:tcW w:w="1145" w:type="pct"/>
            <w:vAlign w:val="center"/>
          </w:tcPr>
          <w:p>
            <w:pPr>
              <w:pStyle w:val="11"/>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1"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6" w:type="pct"/>
            <w:vAlign w:val="center"/>
          </w:tcPr>
          <w:p>
            <w:pPr>
              <w:snapToGrid w:val="0"/>
              <w:spacing w:line="360" w:lineRule="auto"/>
              <w:jc w:val="center"/>
              <w:rPr>
                <w:rFonts w:ascii="宋体" w:hAnsi="宋体"/>
                <w:color w:val="auto"/>
                <w:sz w:val="24"/>
                <w:highlight w:val="none"/>
              </w:rPr>
            </w:pPr>
          </w:p>
        </w:tc>
        <w:tc>
          <w:tcPr>
            <w:tcW w:w="671" w:type="pct"/>
            <w:vAlign w:val="center"/>
          </w:tcPr>
          <w:p>
            <w:pPr>
              <w:snapToGrid w:val="0"/>
              <w:spacing w:line="360" w:lineRule="auto"/>
              <w:jc w:val="center"/>
              <w:rPr>
                <w:rFonts w:ascii="宋体" w:hAnsi="宋体" w:cs="宋体"/>
                <w:color w:val="auto"/>
                <w:kern w:val="0"/>
                <w:sz w:val="24"/>
                <w:highlight w:val="none"/>
              </w:rPr>
            </w:pPr>
          </w:p>
        </w:tc>
        <w:tc>
          <w:tcPr>
            <w:tcW w:w="1149" w:type="pct"/>
            <w:vAlign w:val="center"/>
          </w:tcPr>
          <w:p>
            <w:pPr>
              <w:widowControl/>
              <w:spacing w:line="360" w:lineRule="auto"/>
              <w:jc w:val="left"/>
              <w:rPr>
                <w:rFonts w:ascii="宋体" w:hAnsi="宋体"/>
                <w:color w:val="auto"/>
                <w:sz w:val="24"/>
                <w:highlight w:val="none"/>
              </w:rPr>
            </w:pPr>
          </w:p>
        </w:tc>
        <w:tc>
          <w:tcPr>
            <w:tcW w:w="1145"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1"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6" w:type="pct"/>
            <w:vAlign w:val="center"/>
          </w:tcPr>
          <w:p>
            <w:pPr>
              <w:snapToGrid w:val="0"/>
              <w:spacing w:line="360" w:lineRule="auto"/>
              <w:jc w:val="center"/>
              <w:rPr>
                <w:rFonts w:ascii="宋体" w:hAnsi="宋体"/>
                <w:color w:val="auto"/>
                <w:sz w:val="24"/>
                <w:highlight w:val="none"/>
              </w:rPr>
            </w:pPr>
          </w:p>
        </w:tc>
        <w:tc>
          <w:tcPr>
            <w:tcW w:w="671" w:type="pct"/>
            <w:vAlign w:val="center"/>
          </w:tcPr>
          <w:p>
            <w:pPr>
              <w:snapToGrid w:val="0"/>
              <w:spacing w:line="360" w:lineRule="auto"/>
              <w:jc w:val="center"/>
              <w:rPr>
                <w:rFonts w:ascii="宋体" w:hAnsi="宋体" w:cs="宋体"/>
                <w:color w:val="auto"/>
                <w:kern w:val="0"/>
                <w:sz w:val="24"/>
                <w:highlight w:val="none"/>
              </w:rPr>
            </w:pPr>
          </w:p>
        </w:tc>
        <w:tc>
          <w:tcPr>
            <w:tcW w:w="1149" w:type="pct"/>
            <w:vAlign w:val="center"/>
          </w:tcPr>
          <w:p>
            <w:pPr>
              <w:widowControl/>
              <w:spacing w:line="360" w:lineRule="auto"/>
              <w:jc w:val="left"/>
              <w:rPr>
                <w:rFonts w:ascii="宋体" w:hAnsi="宋体"/>
                <w:color w:val="auto"/>
                <w:sz w:val="24"/>
                <w:highlight w:val="none"/>
              </w:rPr>
            </w:pPr>
          </w:p>
        </w:tc>
        <w:tc>
          <w:tcPr>
            <w:tcW w:w="1145"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1"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6" w:type="pct"/>
            <w:vAlign w:val="center"/>
          </w:tcPr>
          <w:p>
            <w:pPr>
              <w:snapToGrid w:val="0"/>
              <w:spacing w:line="360" w:lineRule="auto"/>
              <w:jc w:val="center"/>
              <w:rPr>
                <w:rFonts w:ascii="宋体" w:hAnsi="宋体"/>
                <w:color w:val="auto"/>
                <w:sz w:val="24"/>
                <w:highlight w:val="none"/>
              </w:rPr>
            </w:pPr>
          </w:p>
        </w:tc>
        <w:tc>
          <w:tcPr>
            <w:tcW w:w="671" w:type="pct"/>
            <w:vAlign w:val="center"/>
          </w:tcPr>
          <w:p>
            <w:pPr>
              <w:snapToGrid w:val="0"/>
              <w:spacing w:line="360" w:lineRule="auto"/>
              <w:jc w:val="center"/>
              <w:rPr>
                <w:rFonts w:ascii="宋体" w:hAnsi="宋体" w:cs="宋体"/>
                <w:color w:val="auto"/>
                <w:kern w:val="0"/>
                <w:sz w:val="24"/>
                <w:highlight w:val="none"/>
              </w:rPr>
            </w:pPr>
          </w:p>
        </w:tc>
        <w:tc>
          <w:tcPr>
            <w:tcW w:w="1149" w:type="pct"/>
            <w:vAlign w:val="center"/>
          </w:tcPr>
          <w:p>
            <w:pPr>
              <w:widowControl/>
              <w:spacing w:line="360" w:lineRule="auto"/>
              <w:jc w:val="left"/>
              <w:rPr>
                <w:rFonts w:ascii="宋体" w:hAnsi="宋体"/>
                <w:color w:val="auto"/>
                <w:sz w:val="24"/>
                <w:highlight w:val="none"/>
              </w:rPr>
            </w:pPr>
          </w:p>
        </w:tc>
        <w:tc>
          <w:tcPr>
            <w:tcW w:w="1145"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00" w:type="pct"/>
            <w:gridSpan w:val="7"/>
            <w:vAlign w:val="center"/>
          </w:tcPr>
          <w:p>
            <w:pPr>
              <w:widowControl/>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合同包总价：</w:t>
            </w:r>
            <w:r>
              <w:rPr>
                <w:rFonts w:hint="eastAsia" w:ascii="宋体" w:hAnsi="宋体"/>
                <w:color w:val="auto"/>
                <w:sz w:val="24"/>
                <w:highlight w:val="none"/>
                <w:lang w:val="en-US" w:eastAsia="zh-CN"/>
              </w:rPr>
              <w:t xml:space="preserve">                 ，折扣：</w:t>
            </w: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E3AD4"/>
    <w:rsid w:val="00176057"/>
    <w:rsid w:val="002B52A0"/>
    <w:rsid w:val="002F36E5"/>
    <w:rsid w:val="003917ED"/>
    <w:rsid w:val="003B3428"/>
    <w:rsid w:val="004C72FC"/>
    <w:rsid w:val="00564FBE"/>
    <w:rsid w:val="009335BC"/>
    <w:rsid w:val="00A623CB"/>
    <w:rsid w:val="00AB6FAA"/>
    <w:rsid w:val="00B16B83"/>
    <w:rsid w:val="00CD7ACC"/>
    <w:rsid w:val="00E86791"/>
    <w:rsid w:val="00FA6A9F"/>
    <w:rsid w:val="02D80DA0"/>
    <w:rsid w:val="04C40DE2"/>
    <w:rsid w:val="0686229E"/>
    <w:rsid w:val="071B4393"/>
    <w:rsid w:val="07A3620E"/>
    <w:rsid w:val="0B783442"/>
    <w:rsid w:val="0F1D0A28"/>
    <w:rsid w:val="11670892"/>
    <w:rsid w:val="14C51BEB"/>
    <w:rsid w:val="1E897F61"/>
    <w:rsid w:val="22FC1C4F"/>
    <w:rsid w:val="24253D8C"/>
    <w:rsid w:val="26340146"/>
    <w:rsid w:val="27C42B43"/>
    <w:rsid w:val="28847CD2"/>
    <w:rsid w:val="28AD5641"/>
    <w:rsid w:val="28EB517F"/>
    <w:rsid w:val="29181EA6"/>
    <w:rsid w:val="2A2D3EB3"/>
    <w:rsid w:val="2CBC4D0E"/>
    <w:rsid w:val="2EFC6C91"/>
    <w:rsid w:val="31CE533B"/>
    <w:rsid w:val="320F1026"/>
    <w:rsid w:val="32150335"/>
    <w:rsid w:val="33747367"/>
    <w:rsid w:val="35ED2D88"/>
    <w:rsid w:val="38D36E0B"/>
    <w:rsid w:val="399D77AD"/>
    <w:rsid w:val="3C3825DD"/>
    <w:rsid w:val="3E135735"/>
    <w:rsid w:val="3E5E6414"/>
    <w:rsid w:val="3E795988"/>
    <w:rsid w:val="408D1FEC"/>
    <w:rsid w:val="40DC4524"/>
    <w:rsid w:val="435B2651"/>
    <w:rsid w:val="44A73530"/>
    <w:rsid w:val="47C80021"/>
    <w:rsid w:val="4A851084"/>
    <w:rsid w:val="4AE30836"/>
    <w:rsid w:val="4C2F3681"/>
    <w:rsid w:val="4C7B3E93"/>
    <w:rsid w:val="4CE2174D"/>
    <w:rsid w:val="52ED7BC1"/>
    <w:rsid w:val="56A046B9"/>
    <w:rsid w:val="592F4BEA"/>
    <w:rsid w:val="5CA96D95"/>
    <w:rsid w:val="5DBF39CE"/>
    <w:rsid w:val="663051CA"/>
    <w:rsid w:val="67F554D5"/>
    <w:rsid w:val="6831460C"/>
    <w:rsid w:val="68941178"/>
    <w:rsid w:val="722809D5"/>
    <w:rsid w:val="73426E54"/>
    <w:rsid w:val="76A82938"/>
    <w:rsid w:val="7E755EB7"/>
    <w:rsid w:val="7F8D3BB1"/>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606"/>
      </w:tabs>
      <w:ind w:firstLine="4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7"/>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10"/>
    <w:autoRedefine/>
    <w:qFormat/>
    <w:uiPriority w:val="0"/>
    <w:pPr>
      <w:ind w:firstLine="420" w:firstLineChars="100"/>
    </w:pPr>
    <w:rPr>
      <w:rFonts w:ascii="Times New Roman" w:hAnsi="Times New Roman"/>
      <w:szCs w:val="20"/>
    </w:r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表格文字"/>
    <w:basedOn w:val="1"/>
    <w:next w:val="10"/>
    <w:autoRedefine/>
    <w:qFormat/>
    <w:uiPriority w:val="0"/>
    <w:pPr>
      <w:adjustRightInd w:val="0"/>
      <w:spacing w:line="420" w:lineRule="atLeast"/>
      <w:jc w:val="left"/>
      <w:textAlignment w:val="baseline"/>
    </w:pPr>
    <w:rPr>
      <w:kern w:val="0"/>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5"/>
    <w:autoRedefine/>
    <w:qFormat/>
    <w:uiPriority w:val="0"/>
    <w:rPr>
      <w:rFonts w:ascii="Calibri" w:hAnsi="Calibri"/>
      <w:kern w:val="2"/>
      <w:sz w:val="18"/>
      <w:szCs w:val="18"/>
    </w:rPr>
  </w:style>
  <w:style w:type="character" w:customStyle="1" w:styleId="35">
    <w:name w:val="批注框文本 Char"/>
    <w:basedOn w:val="22"/>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2437</Words>
  <Characters>13896</Characters>
  <Lines>115</Lines>
  <Paragraphs>32</Paragraphs>
  <TotalTime>2</TotalTime>
  <ScaleCrop>false</ScaleCrop>
  <LinksUpToDate>false</LinksUpToDate>
  <CharactersWithSpaces>16301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2024-05-08T01:29:23Z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DC459164FD6C46C1A47D9A611BB59A1E_13</vt:lpwstr>
  </property>
</Properties>
</file>